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32F5" w14:textId="77777777" w:rsidR="0076115E" w:rsidRDefault="0076115E">
      <w:pPr>
        <w:pStyle w:val="Judul1"/>
        <w:spacing w:before="82" w:line="360" w:lineRule="auto"/>
        <w:ind w:left="830" w:right="848"/>
        <w:jc w:val="center"/>
      </w:pPr>
    </w:p>
    <w:p w14:paraId="2941575A" w14:textId="18A81734" w:rsidR="0076115E" w:rsidRPr="00694DB5" w:rsidRDefault="00694DB5" w:rsidP="00694DB5">
      <w:pPr>
        <w:pStyle w:val="Judul1"/>
        <w:spacing w:before="82" w:line="360" w:lineRule="auto"/>
        <w:ind w:left="830" w:right="848"/>
        <w:jc w:val="center"/>
      </w:pPr>
      <w:r>
        <w:t xml:space="preserve">KONSEP </w:t>
      </w:r>
      <w:r>
        <w:rPr>
          <w:i/>
          <w:iCs/>
        </w:rPr>
        <w:t xml:space="preserve">AMICUS CURIAE </w:t>
      </w:r>
      <w:r>
        <w:t>DALAM SISTEM PERADILAN DI INDONESIA</w:t>
      </w:r>
    </w:p>
    <w:p w14:paraId="5B7CBDBD" w14:textId="77777777" w:rsidR="00393C33" w:rsidRDefault="00393C33" w:rsidP="00393C33">
      <w:pPr>
        <w:pStyle w:val="Judul1"/>
        <w:spacing w:before="82" w:line="360" w:lineRule="auto"/>
        <w:ind w:left="830" w:right="-42"/>
        <w:jc w:val="center"/>
      </w:pPr>
    </w:p>
    <w:p w14:paraId="64C0004E" w14:textId="2301E29C" w:rsidR="0076115E" w:rsidRDefault="00694DB5">
      <w:pPr>
        <w:spacing w:before="1"/>
        <w:ind w:right="36"/>
        <w:jc w:val="center"/>
        <w:rPr>
          <w:b/>
          <w:sz w:val="24"/>
        </w:rPr>
      </w:pPr>
      <w:r>
        <w:rPr>
          <w:b/>
          <w:sz w:val="24"/>
        </w:rPr>
        <w:t xml:space="preserve">Sholehuddin </w:t>
      </w:r>
    </w:p>
    <w:p w14:paraId="367F9C48" w14:textId="1DF91F97" w:rsidR="00B8443C" w:rsidRDefault="00694DB5">
      <w:pPr>
        <w:spacing w:before="1"/>
        <w:ind w:right="36"/>
        <w:jc w:val="center"/>
        <w:rPr>
          <w:b/>
          <w:sz w:val="24"/>
        </w:rPr>
      </w:pPr>
      <w:r>
        <w:rPr>
          <w:b/>
          <w:sz w:val="24"/>
        </w:rPr>
        <w:t>Dr, jamil</w:t>
      </w:r>
      <w:r w:rsidR="00B8443C">
        <w:rPr>
          <w:b/>
          <w:sz w:val="24"/>
        </w:rPr>
        <w:t xml:space="preserve"> S.H., M.H</w:t>
      </w:r>
      <w:r>
        <w:rPr>
          <w:b/>
          <w:sz w:val="24"/>
        </w:rPr>
        <w:t>.</w:t>
      </w:r>
    </w:p>
    <w:p w14:paraId="0A7265BC" w14:textId="77777777" w:rsidR="00393C33" w:rsidRDefault="00393C33">
      <w:pPr>
        <w:spacing w:before="1"/>
        <w:ind w:right="36"/>
        <w:jc w:val="center"/>
        <w:rPr>
          <w:b/>
          <w:sz w:val="24"/>
        </w:rPr>
      </w:pPr>
    </w:p>
    <w:p w14:paraId="60E2A7A8" w14:textId="77777777" w:rsidR="00B8443C" w:rsidRDefault="00537A16" w:rsidP="00393C33">
      <w:pPr>
        <w:pStyle w:val="TeksIsi"/>
        <w:ind w:left="2086" w:right="1659"/>
        <w:jc w:val="center"/>
        <w:rPr>
          <w:spacing w:val="-3"/>
        </w:rPr>
      </w:pPr>
      <w:r>
        <w:t>Fakultas</w:t>
      </w:r>
      <w:r>
        <w:rPr>
          <w:spacing w:val="-2"/>
        </w:rPr>
        <w:t xml:space="preserve"> </w:t>
      </w:r>
      <w:r>
        <w:t>Hukum</w:t>
      </w:r>
      <w:r>
        <w:rPr>
          <w:spacing w:val="-3"/>
        </w:rPr>
        <w:t xml:space="preserve"> </w:t>
      </w:r>
    </w:p>
    <w:p w14:paraId="71492404" w14:textId="1C7573A8" w:rsidR="00393C33" w:rsidRDefault="00537A16" w:rsidP="00393C33">
      <w:pPr>
        <w:pStyle w:val="TeksIsi"/>
        <w:ind w:left="2086" w:right="1659"/>
        <w:jc w:val="center"/>
      </w:pPr>
      <w:r>
        <w:t>Universitas</w:t>
      </w:r>
      <w:r>
        <w:rPr>
          <w:spacing w:val="-1"/>
        </w:rPr>
        <w:t xml:space="preserve"> </w:t>
      </w:r>
      <w:r>
        <w:t>Bhayangkara</w:t>
      </w:r>
      <w:r w:rsidR="00393C33">
        <w:rPr>
          <w:spacing w:val="-1"/>
        </w:rPr>
        <w:t xml:space="preserve"> </w:t>
      </w:r>
      <w:r>
        <w:t xml:space="preserve">Surabaya </w:t>
      </w:r>
    </w:p>
    <w:p w14:paraId="34D89C4F" w14:textId="3A38547B" w:rsidR="0076115E" w:rsidRDefault="00694DB5" w:rsidP="00B8443C">
      <w:pPr>
        <w:pStyle w:val="TeksIsi"/>
        <w:ind w:left="2086" w:right="1800"/>
        <w:jc w:val="center"/>
      </w:pPr>
      <w:r>
        <w:t xml:space="preserve"> (</w:t>
      </w:r>
      <w:hyperlink r:id="rId8" w:history="1">
        <w:r w:rsidRPr="000C7262">
          <w:rPr>
            <w:rStyle w:val="Hyperlink"/>
          </w:rPr>
          <w:t>diedien952@gmail.com</w:t>
        </w:r>
      </w:hyperlink>
      <w:r w:rsidR="00B8443C">
        <w:t>:</w:t>
      </w:r>
      <w:r w:rsidRPr="00694DB5">
        <w:t xml:space="preserve"> </w:t>
      </w:r>
      <w:hyperlink r:id="rId9" w:history="1">
        <w:r w:rsidRPr="000C7262">
          <w:rPr>
            <w:rStyle w:val="Hyperlink"/>
          </w:rPr>
          <w:t>jamiljurist@gmail.com</w:t>
        </w:r>
      </w:hyperlink>
      <w:r>
        <w:t xml:space="preserve"> </w:t>
      </w:r>
      <w:r w:rsidR="00537A16">
        <w:t>)</w:t>
      </w:r>
    </w:p>
    <w:p w14:paraId="74F152B8" w14:textId="77777777" w:rsidR="0076115E" w:rsidRDefault="0076115E" w:rsidP="00694DB5">
      <w:pPr>
        <w:pStyle w:val="TeksIsi"/>
        <w:ind w:left="0"/>
        <w:jc w:val="left"/>
        <w:rPr>
          <w:sz w:val="26"/>
        </w:rPr>
      </w:pPr>
    </w:p>
    <w:p w14:paraId="68FF5CBF" w14:textId="77777777" w:rsidR="0076115E" w:rsidRDefault="0076115E">
      <w:pPr>
        <w:pStyle w:val="TeksIsi"/>
        <w:spacing w:before="11"/>
        <w:ind w:left="0"/>
        <w:jc w:val="left"/>
        <w:rPr>
          <w:sz w:val="23"/>
        </w:rPr>
      </w:pPr>
    </w:p>
    <w:p w14:paraId="2795E7A0" w14:textId="6F369CC5" w:rsidR="0076115E" w:rsidRDefault="00537A16">
      <w:pPr>
        <w:ind w:left="830" w:right="848"/>
        <w:jc w:val="center"/>
        <w:rPr>
          <w:b/>
          <w:iCs/>
          <w:sz w:val="24"/>
        </w:rPr>
      </w:pPr>
      <w:r w:rsidRPr="00A74651">
        <w:rPr>
          <w:b/>
          <w:iCs/>
          <w:sz w:val="24"/>
        </w:rPr>
        <w:t>A</w:t>
      </w:r>
      <w:r w:rsidR="00A74651" w:rsidRPr="00A74651">
        <w:rPr>
          <w:b/>
          <w:iCs/>
          <w:sz w:val="24"/>
        </w:rPr>
        <w:t>BSTRAK</w:t>
      </w:r>
    </w:p>
    <w:p w14:paraId="64E36F15" w14:textId="77777777" w:rsidR="00694DB5" w:rsidRPr="00A74651" w:rsidRDefault="00694DB5">
      <w:pPr>
        <w:ind w:left="830" w:right="848"/>
        <w:jc w:val="center"/>
        <w:rPr>
          <w:b/>
          <w:iCs/>
          <w:sz w:val="24"/>
        </w:rPr>
      </w:pPr>
    </w:p>
    <w:p w14:paraId="76C0FA87" w14:textId="77777777" w:rsidR="00694DB5" w:rsidRDefault="00694DB5" w:rsidP="00694DB5">
      <w:pPr>
        <w:ind w:firstLine="720"/>
        <w:jc w:val="both"/>
        <w:rPr>
          <w:sz w:val="24"/>
          <w:szCs w:val="24"/>
          <w:lang w:val="id-ID"/>
        </w:rPr>
      </w:pPr>
      <w:r w:rsidRPr="00694DB5">
        <w:rPr>
          <w:i/>
          <w:iCs/>
          <w:sz w:val="24"/>
          <w:szCs w:val="24"/>
          <w:lang w:val="id-ID"/>
        </w:rPr>
        <w:t>Amicus curiae</w:t>
      </w:r>
      <w:r w:rsidRPr="00656E02">
        <w:rPr>
          <w:sz w:val="24"/>
          <w:szCs w:val="24"/>
          <w:lang w:val="id-ID"/>
        </w:rPr>
        <w:t xml:space="preserve">, yang berasal dari bahasa Latin yang berarti "teman pengadilan," merupakan konsep hukum yang mengizinkan pihak ketiga untuk memberikan pendapat atau informasi kepada pengadilan dalam suatu perkara yang sedang diperiksa. Konsep ini, meskipun tidak secara eksplisit diatur dalam sistem peradilan Indonesia, telah berkembang seiring dengan dinamika perkembangan hukum di Indonesia, baik dalam ranah peradilan pidana, perdata, maupun tata usaha negara. Penelitian ini bertujuan untuk mengkaji implementasi dan relevansi konsep amicus curiae dalam sistem peradilan Indonesia, serta untuk menganalisis manfaat dan potensi tantangan yang timbul dari penerapan konsep tersebut dalam praktik peradilan. Melalui pendekatan normatif-empiris, penelitian ini menggali berbagai sumber hukum yang terkait dengan </w:t>
      </w:r>
      <w:r w:rsidRPr="00C00A50">
        <w:rPr>
          <w:i/>
          <w:iCs/>
          <w:sz w:val="24"/>
          <w:szCs w:val="24"/>
          <w:lang w:val="id-ID"/>
        </w:rPr>
        <w:t>amicus curiae</w:t>
      </w:r>
      <w:r w:rsidRPr="00656E02">
        <w:rPr>
          <w:sz w:val="24"/>
          <w:szCs w:val="24"/>
          <w:lang w:val="id-ID"/>
        </w:rPr>
        <w:t>, baik dalam sistem hukum internasional maupun nasional, serta mengidentifikasi peran penting yang dapat dimainkan oleh pihak ketiga dalam mendukung proses peradilan yang lebih adil dan transparan. seperti keterbatasan regulasi yang mengatur secara rinci, serta potensi benturan antara prinsip independensi hakim dan intervensi pihak ketiga. Hasil penelitian menunjukkan bahwa meskipun amicus curiae belum sepenuhnya diakui secara formal dalam hukum Indonesia, penerapannya dapat memberikan kontribusi positif dalam meningkatkan kualitas keputusan pengadilan, khususnya dalam kasus-kasus yang melibatkan isu-isu kompleks dan kepentingan publik yang lebih luas.</w:t>
      </w:r>
    </w:p>
    <w:p w14:paraId="61F5BE67" w14:textId="77777777" w:rsidR="00C00A50" w:rsidRPr="00656E02" w:rsidRDefault="00C00A50" w:rsidP="00694DB5">
      <w:pPr>
        <w:ind w:firstLine="720"/>
        <w:jc w:val="both"/>
        <w:rPr>
          <w:sz w:val="24"/>
          <w:szCs w:val="24"/>
          <w:lang w:val="id-ID"/>
        </w:rPr>
      </w:pPr>
    </w:p>
    <w:p w14:paraId="645801B4" w14:textId="77777777" w:rsidR="00694DB5" w:rsidRPr="00974A5B" w:rsidRDefault="00694DB5" w:rsidP="00694DB5">
      <w:pPr>
        <w:jc w:val="both"/>
        <w:rPr>
          <w:sz w:val="24"/>
          <w:szCs w:val="24"/>
        </w:rPr>
      </w:pPr>
      <w:r w:rsidRPr="00A708BD">
        <w:rPr>
          <w:b/>
          <w:bCs/>
          <w:sz w:val="24"/>
          <w:szCs w:val="24"/>
          <w:lang w:val="mk-MK"/>
        </w:rPr>
        <w:t xml:space="preserve">Kata Kunci : </w:t>
      </w:r>
      <w:r w:rsidRPr="00C00A50">
        <w:rPr>
          <w:i/>
          <w:iCs/>
          <w:sz w:val="24"/>
          <w:szCs w:val="24"/>
          <w:lang w:val="id-ID"/>
        </w:rPr>
        <w:t>amicus curiae</w:t>
      </w:r>
      <w:r w:rsidRPr="00A708BD">
        <w:rPr>
          <w:sz w:val="24"/>
          <w:szCs w:val="24"/>
          <w:lang w:val="id-ID"/>
        </w:rPr>
        <w:t>,konsep hukum,independensi hakim</w:t>
      </w:r>
    </w:p>
    <w:p w14:paraId="3CE3AF9B" w14:textId="77777777" w:rsidR="0076115E" w:rsidRPr="00694DB5" w:rsidRDefault="0076115E">
      <w:pPr>
        <w:ind w:left="830" w:right="848"/>
        <w:jc w:val="center"/>
        <w:rPr>
          <w:bCs/>
          <w:iCs/>
          <w:sz w:val="24"/>
        </w:rPr>
      </w:pPr>
    </w:p>
    <w:p w14:paraId="3A4FA00D" w14:textId="1BBBF1A9" w:rsidR="00A74651" w:rsidRDefault="00A74651" w:rsidP="00A74651">
      <w:pPr>
        <w:spacing w:before="3"/>
        <w:ind w:left="100"/>
        <w:jc w:val="both"/>
        <w:rPr>
          <w:b/>
          <w:i/>
          <w:sz w:val="20"/>
        </w:rPr>
      </w:pPr>
    </w:p>
    <w:p w14:paraId="34098B7A" w14:textId="77777777" w:rsidR="005F03FB" w:rsidRDefault="005F03FB" w:rsidP="00A74651">
      <w:pPr>
        <w:spacing w:before="3"/>
        <w:ind w:left="100"/>
        <w:jc w:val="center"/>
        <w:rPr>
          <w:b/>
          <w:i/>
          <w:sz w:val="20"/>
        </w:rPr>
      </w:pPr>
    </w:p>
    <w:p w14:paraId="304F1649" w14:textId="77777777" w:rsidR="005F03FB" w:rsidRDefault="005F03FB" w:rsidP="00A74651">
      <w:pPr>
        <w:spacing w:before="3"/>
        <w:ind w:left="100"/>
        <w:jc w:val="center"/>
        <w:rPr>
          <w:b/>
          <w:i/>
          <w:sz w:val="20"/>
        </w:rPr>
      </w:pPr>
    </w:p>
    <w:p w14:paraId="31BBB504" w14:textId="77777777" w:rsidR="005F03FB" w:rsidRDefault="005F03FB" w:rsidP="00A74651">
      <w:pPr>
        <w:spacing w:before="3"/>
        <w:ind w:left="100"/>
        <w:jc w:val="center"/>
        <w:rPr>
          <w:b/>
          <w:i/>
          <w:sz w:val="20"/>
        </w:rPr>
      </w:pPr>
    </w:p>
    <w:p w14:paraId="16EA1722" w14:textId="77777777" w:rsidR="005F03FB" w:rsidRDefault="005F03FB" w:rsidP="00A74651">
      <w:pPr>
        <w:spacing w:before="3"/>
        <w:ind w:left="100"/>
        <w:jc w:val="center"/>
        <w:rPr>
          <w:b/>
          <w:i/>
          <w:sz w:val="20"/>
        </w:rPr>
      </w:pPr>
    </w:p>
    <w:p w14:paraId="0EEE204B" w14:textId="77777777" w:rsidR="005F03FB" w:rsidRDefault="005F03FB" w:rsidP="00A74651">
      <w:pPr>
        <w:spacing w:before="3"/>
        <w:ind w:left="100"/>
        <w:jc w:val="center"/>
        <w:rPr>
          <w:b/>
          <w:i/>
          <w:sz w:val="20"/>
        </w:rPr>
      </w:pPr>
    </w:p>
    <w:p w14:paraId="690044A2" w14:textId="77777777" w:rsidR="005F03FB" w:rsidRDefault="005F03FB" w:rsidP="00A74651">
      <w:pPr>
        <w:spacing w:before="3"/>
        <w:ind w:left="100"/>
        <w:jc w:val="center"/>
        <w:rPr>
          <w:b/>
          <w:i/>
          <w:sz w:val="20"/>
        </w:rPr>
      </w:pPr>
    </w:p>
    <w:p w14:paraId="5CBE7A16" w14:textId="77777777" w:rsidR="005F03FB" w:rsidRDefault="005F03FB" w:rsidP="00A74651">
      <w:pPr>
        <w:spacing w:before="3"/>
        <w:ind w:left="100"/>
        <w:jc w:val="center"/>
        <w:rPr>
          <w:b/>
          <w:i/>
          <w:sz w:val="20"/>
        </w:rPr>
      </w:pPr>
    </w:p>
    <w:p w14:paraId="5201C02E" w14:textId="77777777" w:rsidR="005F03FB" w:rsidRDefault="005F03FB" w:rsidP="00A74651">
      <w:pPr>
        <w:spacing w:before="3"/>
        <w:ind w:left="100"/>
        <w:jc w:val="center"/>
        <w:rPr>
          <w:b/>
          <w:i/>
          <w:sz w:val="20"/>
        </w:rPr>
      </w:pPr>
    </w:p>
    <w:p w14:paraId="50FA525B" w14:textId="77777777" w:rsidR="005F03FB" w:rsidRDefault="005F03FB" w:rsidP="00A74651">
      <w:pPr>
        <w:spacing w:before="3"/>
        <w:ind w:left="100"/>
        <w:jc w:val="center"/>
        <w:rPr>
          <w:b/>
          <w:i/>
          <w:sz w:val="20"/>
        </w:rPr>
      </w:pPr>
    </w:p>
    <w:p w14:paraId="732838C7" w14:textId="77777777" w:rsidR="005F03FB" w:rsidRDefault="005F03FB" w:rsidP="00A74651">
      <w:pPr>
        <w:spacing w:before="3"/>
        <w:ind w:left="100"/>
        <w:jc w:val="center"/>
        <w:rPr>
          <w:b/>
          <w:i/>
          <w:sz w:val="20"/>
        </w:rPr>
      </w:pPr>
    </w:p>
    <w:p w14:paraId="349E8BBC" w14:textId="77777777" w:rsidR="005F03FB" w:rsidRDefault="005F03FB" w:rsidP="00A74651">
      <w:pPr>
        <w:spacing w:before="3"/>
        <w:ind w:left="100"/>
        <w:jc w:val="center"/>
        <w:rPr>
          <w:b/>
          <w:i/>
          <w:sz w:val="20"/>
        </w:rPr>
      </w:pPr>
    </w:p>
    <w:p w14:paraId="217BC6F3" w14:textId="77777777" w:rsidR="005F03FB" w:rsidRDefault="005F03FB" w:rsidP="00A74651">
      <w:pPr>
        <w:spacing w:before="3"/>
        <w:ind w:left="100"/>
        <w:jc w:val="center"/>
        <w:rPr>
          <w:b/>
          <w:i/>
          <w:sz w:val="20"/>
        </w:rPr>
      </w:pPr>
    </w:p>
    <w:p w14:paraId="2F29B491" w14:textId="77777777" w:rsidR="005F03FB" w:rsidRDefault="005F03FB" w:rsidP="00A74651">
      <w:pPr>
        <w:spacing w:before="3"/>
        <w:ind w:left="100"/>
        <w:jc w:val="center"/>
        <w:rPr>
          <w:b/>
          <w:i/>
          <w:sz w:val="20"/>
        </w:rPr>
      </w:pPr>
    </w:p>
    <w:p w14:paraId="33E0AD6E" w14:textId="77777777" w:rsidR="005F03FB" w:rsidRDefault="005F03FB" w:rsidP="00A74651">
      <w:pPr>
        <w:spacing w:before="3"/>
        <w:ind w:left="100"/>
        <w:jc w:val="center"/>
        <w:rPr>
          <w:b/>
          <w:i/>
          <w:sz w:val="20"/>
        </w:rPr>
      </w:pPr>
    </w:p>
    <w:p w14:paraId="7E10BA73" w14:textId="77777777" w:rsidR="005F03FB" w:rsidRDefault="005F03FB" w:rsidP="00A74651">
      <w:pPr>
        <w:spacing w:before="3"/>
        <w:ind w:left="100"/>
        <w:jc w:val="center"/>
        <w:rPr>
          <w:b/>
          <w:i/>
          <w:sz w:val="20"/>
        </w:rPr>
      </w:pPr>
    </w:p>
    <w:p w14:paraId="7FE9245E" w14:textId="77777777" w:rsidR="00694DB5" w:rsidRDefault="00694DB5" w:rsidP="00A74651">
      <w:pPr>
        <w:spacing w:before="3"/>
        <w:ind w:left="100"/>
        <w:jc w:val="center"/>
        <w:rPr>
          <w:b/>
          <w:i/>
          <w:sz w:val="20"/>
        </w:rPr>
      </w:pPr>
    </w:p>
    <w:p w14:paraId="62273867" w14:textId="77777777" w:rsidR="00694DB5" w:rsidRDefault="00694DB5" w:rsidP="00A74651">
      <w:pPr>
        <w:spacing w:before="3"/>
        <w:ind w:left="100"/>
        <w:jc w:val="center"/>
        <w:rPr>
          <w:b/>
          <w:i/>
          <w:sz w:val="20"/>
        </w:rPr>
      </w:pPr>
    </w:p>
    <w:p w14:paraId="0DE5169B" w14:textId="77777777" w:rsidR="005F03FB" w:rsidRDefault="005F03FB" w:rsidP="00A74651">
      <w:pPr>
        <w:spacing w:before="3"/>
        <w:ind w:left="100"/>
        <w:jc w:val="center"/>
        <w:rPr>
          <w:b/>
          <w:i/>
          <w:sz w:val="20"/>
        </w:rPr>
      </w:pPr>
    </w:p>
    <w:p w14:paraId="14329931" w14:textId="1E557CFB" w:rsidR="00A74651" w:rsidRDefault="00A74651" w:rsidP="00A74651">
      <w:pPr>
        <w:spacing w:before="3"/>
        <w:ind w:left="100"/>
        <w:jc w:val="center"/>
        <w:rPr>
          <w:b/>
          <w:i/>
          <w:sz w:val="20"/>
        </w:rPr>
      </w:pPr>
      <w:r>
        <w:rPr>
          <w:b/>
          <w:i/>
          <w:sz w:val="20"/>
        </w:rPr>
        <w:t>ABSTRACT</w:t>
      </w:r>
    </w:p>
    <w:p w14:paraId="50A8601B" w14:textId="77777777" w:rsidR="005F03FB" w:rsidRDefault="005F03FB" w:rsidP="00A74651">
      <w:pPr>
        <w:spacing w:before="3"/>
        <w:ind w:left="100"/>
        <w:jc w:val="center"/>
        <w:rPr>
          <w:b/>
          <w:i/>
          <w:sz w:val="20"/>
        </w:rPr>
      </w:pPr>
    </w:p>
    <w:p w14:paraId="4A82212A" w14:textId="77777777" w:rsidR="00C00A50" w:rsidRDefault="00C00A50" w:rsidP="00C00A50">
      <w:pPr>
        <w:ind w:firstLine="720"/>
        <w:jc w:val="both"/>
        <w:rPr>
          <w:i/>
          <w:iCs/>
          <w:sz w:val="24"/>
          <w:szCs w:val="24"/>
          <w:lang w:val="en"/>
        </w:rPr>
      </w:pPr>
      <w:r w:rsidRPr="00656E02">
        <w:rPr>
          <w:i/>
          <w:iCs/>
          <w:sz w:val="24"/>
          <w:szCs w:val="24"/>
          <w:lang w:val="en"/>
        </w:rPr>
        <w:t>Amicus curiae, which comes from Latin meaning "friend of the court," is a legal concept that allows a third party to provide opinions or information to the court in a case being examined. This concept, although not explicitly regulated in the Indonesian justice system, has developed along with the dynamics of legal development in Indonesia, both in the realm of criminal justice, civil justice and state administration. This research aims to examine the implementation and relevance of the amicus curiae concept in the Indonesian justice system, as well as to analyze the benefits and potential challenges arising from the application of this concept in judicial practice. Through a normative-empirical approach, this research explores various legal sources related to amicus curiae, both in international and national legal systems, and identifies the important role that third parties can play in supporting a fairer and more transparent judicial process. Apart from that, this research also discusses the obstacles that may be faced in adopting amicus curiae in the Indonesian legal system, such as limitations in detailed regulations, as well as potential conflicts between the principle of judge independence and third party intervention. The research results show that although amicus curiae is not yet fully formally recognized in Indonesian law, its application can make a positive contribution in improving the quality of court decisions, especially in cases involving complex issues and wider public interest.</w:t>
      </w:r>
    </w:p>
    <w:p w14:paraId="4F63B266" w14:textId="77777777" w:rsidR="00C00A50" w:rsidRPr="00656E02" w:rsidRDefault="00C00A50" w:rsidP="00C00A50">
      <w:pPr>
        <w:ind w:firstLine="720"/>
        <w:jc w:val="both"/>
        <w:rPr>
          <w:i/>
          <w:iCs/>
          <w:sz w:val="24"/>
          <w:szCs w:val="24"/>
        </w:rPr>
      </w:pPr>
    </w:p>
    <w:p w14:paraId="0F7F976F" w14:textId="5842D08B" w:rsidR="00A74651" w:rsidRPr="00C00A50" w:rsidRDefault="00C00A50" w:rsidP="00C00A50">
      <w:pPr>
        <w:spacing w:line="480" w:lineRule="auto"/>
        <w:jc w:val="both"/>
        <w:rPr>
          <w:i/>
          <w:iCs/>
          <w:sz w:val="24"/>
          <w:szCs w:val="24"/>
          <w:lang w:val="id-ID"/>
        </w:rPr>
        <w:sectPr w:rsidR="00A74651" w:rsidRPr="00C00A50">
          <w:headerReference w:type="default" r:id="rId10"/>
          <w:footerReference w:type="default" r:id="rId11"/>
          <w:type w:val="continuous"/>
          <w:pgSz w:w="11910" w:h="16840"/>
          <w:pgMar w:top="1380" w:right="1320" w:bottom="980" w:left="1560" w:header="719" w:footer="788" w:gutter="0"/>
          <w:pgNumType w:start="1"/>
          <w:cols w:space="720"/>
        </w:sectPr>
      </w:pPr>
      <w:r w:rsidRPr="00656E02">
        <w:rPr>
          <w:b/>
          <w:bCs/>
          <w:i/>
          <w:iCs/>
          <w:sz w:val="24"/>
          <w:szCs w:val="24"/>
          <w:lang w:val="id-ID"/>
        </w:rPr>
        <w:t>Keyword</w:t>
      </w:r>
      <w:r w:rsidRPr="00656E02">
        <w:rPr>
          <w:i/>
          <w:iCs/>
          <w:sz w:val="24"/>
          <w:szCs w:val="24"/>
          <w:lang w:val="id-ID"/>
        </w:rPr>
        <w:t>s : amicus curiae,legal concept,judicial independence</w:t>
      </w:r>
      <w:r w:rsidR="00A74651" w:rsidRPr="00A74651">
        <w:rPr>
          <w:i/>
          <w:iCs/>
          <w:sz w:val="24"/>
          <w:szCs w:val="24"/>
        </w:rPr>
        <w:t>.</w:t>
      </w:r>
    </w:p>
    <w:p w14:paraId="1A769534" w14:textId="24E43A19" w:rsidR="00871513" w:rsidRDefault="00537A16" w:rsidP="00871513">
      <w:pPr>
        <w:pStyle w:val="Judul1"/>
        <w:spacing w:before="92"/>
        <w:ind w:left="142"/>
        <w:jc w:val="left"/>
      </w:pPr>
      <w:r>
        <w:t>Pendahuluan</w:t>
      </w:r>
      <w:bookmarkStart w:id="0" w:name="_Hlk200626802"/>
    </w:p>
    <w:p w14:paraId="7E8810A1" w14:textId="77777777" w:rsidR="00C00A50" w:rsidRDefault="00C00A50" w:rsidP="00871513">
      <w:pPr>
        <w:pStyle w:val="Judul1"/>
        <w:spacing w:before="92"/>
        <w:ind w:left="142"/>
        <w:jc w:val="left"/>
      </w:pPr>
    </w:p>
    <w:p w14:paraId="3D9ED950" w14:textId="0FA7E954" w:rsidR="00C00A50" w:rsidRPr="00A708BD" w:rsidRDefault="00C00A50" w:rsidP="00AB3729">
      <w:pPr>
        <w:tabs>
          <w:tab w:val="left" w:pos="284"/>
        </w:tabs>
        <w:spacing w:line="360" w:lineRule="auto"/>
        <w:ind w:left="284" w:right="113" w:hanging="284"/>
        <w:jc w:val="both"/>
        <w:outlineLvl w:val="1"/>
        <w:rPr>
          <w:sz w:val="24"/>
          <w:szCs w:val="24"/>
          <w:lang w:val="id-ID"/>
        </w:rPr>
      </w:pPr>
      <w:r>
        <w:rPr>
          <w:i/>
          <w:iCs/>
          <w:sz w:val="24"/>
          <w:szCs w:val="24"/>
          <w:lang w:val="id-ID"/>
        </w:rPr>
        <w:tab/>
      </w:r>
      <w:r w:rsidR="00AB3729">
        <w:rPr>
          <w:i/>
          <w:iCs/>
          <w:sz w:val="24"/>
          <w:szCs w:val="24"/>
          <w:lang w:val="id-ID"/>
        </w:rPr>
        <w:tab/>
      </w:r>
      <w:r w:rsidRPr="00A708BD">
        <w:rPr>
          <w:i/>
          <w:iCs/>
          <w:sz w:val="24"/>
          <w:szCs w:val="24"/>
          <w:lang w:val="id-ID"/>
        </w:rPr>
        <w:t>Amicus curiae</w:t>
      </w:r>
      <w:r w:rsidRPr="00A708BD">
        <w:rPr>
          <w:sz w:val="24"/>
          <w:szCs w:val="24"/>
          <w:lang w:val="id-ID"/>
        </w:rPr>
        <w:t xml:space="preserve"> atau yang dikenal dengan istilah "teman pengadilan" dalam sistem peradilan Mahkamah Konstitusi Republik Indonesia merupakan salah satu fenomena hukum yang semakin mendapat perhatian dalam beberapa tahun terakhir. Istilah ini merujuk pada pihak ketiga yang memberikan masukan atau pendapat kepada pengadilan dalam suatu perkara, meskipun pihak tersebut tidak terlibat langsung dalam sengketa yang diajukan. Tujuan utama dari adanya </w:t>
      </w:r>
      <w:r w:rsidRPr="00A708BD">
        <w:rPr>
          <w:i/>
          <w:iCs/>
          <w:sz w:val="24"/>
          <w:szCs w:val="24"/>
          <w:lang w:val="id-ID"/>
        </w:rPr>
        <w:t>amicus curiae</w:t>
      </w:r>
      <w:r w:rsidRPr="00A708BD">
        <w:rPr>
          <w:sz w:val="24"/>
          <w:szCs w:val="24"/>
          <w:lang w:val="id-ID"/>
        </w:rPr>
        <w:t xml:space="preserve"> adalah untuk memberikan pandangan yang lebih luas kepada pengadilan, terutama dalam perkara-perkara yang menyangkut hak konstitusional atau kepentingan publik yang lebih besar. Di Indonesia, peran ini telah diakui secara formal dalam praktik hukum, khususnya dalam kasus-kasus yang dibawa ke Mahkamah Konstitusi (MK), yang berwenang untuk menguji konstitusionalitas undang-undang, menyelesaikan sengketa hasil pemilu, dan memutuskan hal-hal yang berhubungan dengan hak-hak dasar warga negara. Salah satu contoh konkret penerapan amicus curiae dalam sistem peradilan MK dapat ditemukan dalam Putusan Nomor 2/PHPU.PRES.XXII/2024, yang menjadi studi kasus penting untuk memahami bagaimana amicus curiae berperan dalam memberikan kontribusi terhadap keputusan hukum yang diambil oleh Mahkamah Konstitusi.</w:t>
      </w:r>
    </w:p>
    <w:p w14:paraId="1203A0AA" w14:textId="37AEEE3E" w:rsidR="00C00A50" w:rsidRPr="00A708BD" w:rsidRDefault="00C00A50" w:rsidP="00AB3729">
      <w:pPr>
        <w:tabs>
          <w:tab w:val="left" w:pos="284"/>
        </w:tabs>
        <w:spacing w:line="360" w:lineRule="auto"/>
        <w:ind w:left="284" w:right="113" w:hanging="142"/>
        <w:jc w:val="both"/>
        <w:outlineLvl w:val="1"/>
        <w:rPr>
          <w:sz w:val="24"/>
          <w:szCs w:val="24"/>
          <w:lang w:val="id-ID"/>
        </w:rPr>
      </w:pPr>
      <w:r>
        <w:rPr>
          <w:sz w:val="24"/>
          <w:szCs w:val="24"/>
          <w:lang w:val="id-ID"/>
        </w:rPr>
        <w:tab/>
      </w:r>
      <w:r w:rsidR="00AB3729">
        <w:rPr>
          <w:sz w:val="24"/>
          <w:szCs w:val="24"/>
          <w:lang w:val="id-ID"/>
        </w:rPr>
        <w:tab/>
      </w:r>
      <w:r w:rsidRPr="00A708BD">
        <w:rPr>
          <w:sz w:val="24"/>
          <w:szCs w:val="24"/>
          <w:lang w:val="id-ID"/>
        </w:rPr>
        <w:t xml:space="preserve">Dasar hukum dari penerimaan peran </w:t>
      </w:r>
      <w:r w:rsidRPr="00A708BD">
        <w:rPr>
          <w:i/>
          <w:iCs/>
          <w:sz w:val="24"/>
          <w:szCs w:val="24"/>
          <w:lang w:val="id-ID"/>
        </w:rPr>
        <w:t>amicus curiae</w:t>
      </w:r>
      <w:r w:rsidRPr="00A708BD">
        <w:rPr>
          <w:sz w:val="24"/>
          <w:szCs w:val="24"/>
          <w:lang w:val="id-ID"/>
        </w:rPr>
        <w:t xml:space="preserve"> dalam sistem peradilan Mahkamah Konstitusi dapat ditemukan dalam beberapa ketentuan perundang-undangan, seperti Undang-Undang Nomor 48Tahun 2009 tentang kekuasaan ke hakiman,</w:t>
      </w:r>
      <w:r w:rsidRPr="00A708BD">
        <w:rPr>
          <w:rStyle w:val="ReferensiCatatanKaki"/>
          <w:sz w:val="24"/>
          <w:szCs w:val="24"/>
        </w:rPr>
        <w:footnoteReference w:id="1"/>
      </w:r>
      <w:r w:rsidRPr="00A708BD">
        <w:rPr>
          <w:sz w:val="24"/>
          <w:szCs w:val="24"/>
          <w:lang w:val="id-ID"/>
        </w:rPr>
        <w:t xml:space="preserve">bahwa hakim dan hakim konstitusi wajib menggali,dan memahami nilai-nilai hukum dan rasa keadilan yang hidup dalam masyarakat. Meskipun tidak diatur secara rinci dalam undang-undang tersebut, dalam praktiknya, Mahkamah konstitusi sering membuka kesempatan bagi pihak-pihak yang memiliki kepentingan untuk menyampaikan masukan. Hal ini mengindikasikan bahwa </w:t>
      </w:r>
      <w:r w:rsidRPr="00A708BD">
        <w:rPr>
          <w:i/>
          <w:iCs/>
          <w:sz w:val="24"/>
          <w:szCs w:val="24"/>
          <w:lang w:val="id-ID"/>
        </w:rPr>
        <w:t xml:space="preserve">amicus curiae </w:t>
      </w:r>
      <w:r w:rsidRPr="00A708BD">
        <w:rPr>
          <w:sz w:val="24"/>
          <w:szCs w:val="24"/>
          <w:lang w:val="id-ID"/>
        </w:rPr>
        <w:t xml:space="preserve">diakui sebagai salah satu mekanisme yang sah untuk memberikan pertimbangan tambahan bagi hakim dalam sebuah putusan, terutama dalam kasus-kasus penting yang mempengaruhi kehidupan berbangsa dan bernegara, seperti yang terjadi pada sengketa hasil pemilu.bahwa dalam Putusan Nomor 2/PHPU.PRES.XXII/2024 merupakan salah satu contoh konkret dari penerapan </w:t>
      </w:r>
      <w:r w:rsidRPr="00A708BD">
        <w:rPr>
          <w:i/>
          <w:iCs/>
          <w:sz w:val="24"/>
          <w:szCs w:val="24"/>
          <w:lang w:val="id-ID"/>
        </w:rPr>
        <w:t>amicus curiae</w:t>
      </w:r>
      <w:r w:rsidRPr="00A708BD">
        <w:rPr>
          <w:sz w:val="24"/>
          <w:szCs w:val="24"/>
          <w:lang w:val="id-ID"/>
        </w:rPr>
        <w:t xml:space="preserve"> dalam proses hukum di Mahkamah Konstitusi. Kasus ini berkaitan dengan sengketa hasil Pemilihan Presiden (Pilpres) 2024, di mana salah satu pasangan calon mengajukan permohonan untuk membatalkan hasil pemilu yang dinilai cacat secara hukum. Dalam perkara ini, Mahkamah Konstitusi menerima beberapa masukan dari pihak ketiga yang tidak terlibat langsung dalam perkara tersebut, termasuk lembaga-lembaga hukum, akademisi, serta organisasi-organisasi masyarakat sipil. Masukan ini, meskipun tidak mengikat,tapi memberikan perspektif yang lebih luas mengenai implikasi hukum dari keputusan yang akan diambil oleh Mahkamah kontitusi, terutama yang berkaitan dengan integritas dan demokrasi dalam pemilu. Hal ini menjadi sangat relevan mengingat keputusan yang diambil oleh Mahkamah Konstitusi memiliki dampak yang luas bagi sistem politik dan sosial di Indonesia, serta bagi kepercayaan publik terhadap lembaga peradilan. </w:t>
      </w:r>
    </w:p>
    <w:p w14:paraId="38ECF042" w14:textId="77777777" w:rsidR="00C00A50" w:rsidRDefault="00C00A50" w:rsidP="00871513">
      <w:pPr>
        <w:pStyle w:val="Judul1"/>
        <w:spacing w:before="92"/>
        <w:ind w:left="142"/>
        <w:jc w:val="left"/>
      </w:pPr>
    </w:p>
    <w:bookmarkEnd w:id="0"/>
    <w:p w14:paraId="2C4347C8" w14:textId="77777777" w:rsidR="00C00A50" w:rsidRDefault="00C00A50">
      <w:pPr>
        <w:pStyle w:val="TeksIsi"/>
        <w:spacing w:before="136" w:line="360" w:lineRule="auto"/>
        <w:ind w:left="142" w:right="39"/>
      </w:pPr>
    </w:p>
    <w:p w14:paraId="4287DEDF" w14:textId="69A2F94F" w:rsidR="0076115E" w:rsidRDefault="00537A16">
      <w:pPr>
        <w:pStyle w:val="TeksIsi"/>
        <w:spacing w:before="136" w:line="360" w:lineRule="auto"/>
        <w:ind w:left="142" w:right="39"/>
        <w:rPr>
          <w:b/>
          <w:bCs/>
        </w:rPr>
      </w:pPr>
      <w:r>
        <w:rPr>
          <w:b/>
          <w:bCs/>
        </w:rPr>
        <w:t xml:space="preserve">Kajian Pustaka </w:t>
      </w:r>
    </w:p>
    <w:p w14:paraId="1E2AB043" w14:textId="3A693CD1" w:rsidR="00FC6AC5" w:rsidRPr="00FC6AC5" w:rsidRDefault="00FC6AC5" w:rsidP="00FC6AC5">
      <w:pPr>
        <w:pStyle w:val="DaftarParagraf"/>
        <w:numPr>
          <w:ilvl w:val="0"/>
          <w:numId w:val="25"/>
        </w:numPr>
        <w:tabs>
          <w:tab w:val="left" w:pos="2268"/>
        </w:tabs>
        <w:spacing w:line="480" w:lineRule="auto"/>
        <w:ind w:left="567" w:right="113"/>
        <w:outlineLvl w:val="1"/>
        <w:rPr>
          <w:b/>
          <w:bCs/>
          <w:sz w:val="24"/>
          <w:szCs w:val="24"/>
        </w:rPr>
      </w:pPr>
      <w:r>
        <w:rPr>
          <w:b/>
          <w:bCs/>
        </w:rPr>
        <w:t>Sistem kekuasaan kehakiman</w:t>
      </w:r>
      <w:r w:rsidRPr="00FC6AC5">
        <w:rPr>
          <w:b/>
          <w:bCs/>
          <w:sz w:val="24"/>
          <w:szCs w:val="24"/>
        </w:rPr>
        <w:t xml:space="preserve"> </w:t>
      </w:r>
    </w:p>
    <w:p w14:paraId="4C69C2FE" w14:textId="4A8361DB" w:rsidR="00FC6AC5" w:rsidRPr="00DD6812" w:rsidRDefault="00FC6AC5" w:rsidP="00DD6812">
      <w:pPr>
        <w:pStyle w:val="DaftarParagraf"/>
        <w:numPr>
          <w:ilvl w:val="0"/>
          <w:numId w:val="27"/>
        </w:numPr>
        <w:tabs>
          <w:tab w:val="left" w:pos="2268"/>
        </w:tabs>
        <w:spacing w:line="480" w:lineRule="auto"/>
        <w:ind w:left="851" w:right="113"/>
        <w:contextualSpacing/>
        <w:outlineLvl w:val="1"/>
        <w:rPr>
          <w:b/>
          <w:bCs/>
          <w:sz w:val="24"/>
          <w:szCs w:val="24"/>
        </w:rPr>
      </w:pPr>
      <w:r w:rsidRPr="00DD6812">
        <w:rPr>
          <w:b/>
          <w:bCs/>
          <w:sz w:val="24"/>
          <w:szCs w:val="24"/>
        </w:rPr>
        <w:t>Pengertian kekuasaan kehakiman</w:t>
      </w:r>
    </w:p>
    <w:p w14:paraId="232FBE21" w14:textId="7D59B5BB" w:rsidR="00FC6AC5" w:rsidRDefault="0087373A" w:rsidP="00AB3729">
      <w:pPr>
        <w:pStyle w:val="DaftarParagraf"/>
        <w:tabs>
          <w:tab w:val="left" w:pos="1843"/>
          <w:tab w:val="left" w:pos="4349"/>
        </w:tabs>
        <w:spacing w:line="360" w:lineRule="auto"/>
        <w:ind w:left="142" w:right="113"/>
        <w:outlineLvl w:val="1"/>
        <w:rPr>
          <w:sz w:val="24"/>
          <w:szCs w:val="24"/>
        </w:rPr>
      </w:pPr>
      <w:r>
        <w:rPr>
          <w:sz w:val="24"/>
          <w:szCs w:val="24"/>
        </w:rPr>
        <w:tab/>
      </w:r>
      <w:r>
        <w:rPr>
          <w:sz w:val="24"/>
          <w:szCs w:val="24"/>
        </w:rPr>
        <w:tab/>
      </w:r>
      <w:r w:rsidR="00FC6AC5" w:rsidRPr="00A708BD">
        <w:rPr>
          <w:sz w:val="24"/>
          <w:szCs w:val="24"/>
        </w:rPr>
        <w:t>Sistem kekuasaan kehakiman secara ilmiah dapat didefinisikan sebagai suatu mekanisme pembagian dan distribusi kewenangan dalam suatu entitas politik atau sosial, yang bertujuan untuk mengatur hubungan antara aktor-aktor kekuasaan agar tidak terjadi pemusatan kekuasaan yang berlebihan. Konsep ini berakar pada teori pemisahan kekuasaan</w:t>
      </w:r>
      <w:r w:rsidR="00AB3729">
        <w:rPr>
          <w:sz w:val="24"/>
          <w:szCs w:val="24"/>
        </w:rPr>
        <w:t xml:space="preserve"> </w:t>
      </w:r>
      <w:r w:rsidR="00FC6AC5" w:rsidRPr="00A708BD">
        <w:rPr>
          <w:i/>
          <w:iCs/>
          <w:sz w:val="24"/>
          <w:szCs w:val="24"/>
        </w:rPr>
        <w:t>(Trias politica</w:t>
      </w:r>
      <w:r w:rsidR="00FC6AC5" w:rsidRPr="00A708BD">
        <w:rPr>
          <w:sz w:val="24"/>
          <w:szCs w:val="24"/>
        </w:rPr>
        <w:t>) yang dikemukakan oleh Montesquieu, di mana kekuasaan negara dibagi menjadi tiga cabang utama yaitu : legislatif (pembuatan undang-undang),</w:t>
      </w:r>
      <w:r w:rsidR="00FC6AC5">
        <w:rPr>
          <w:sz w:val="24"/>
          <w:szCs w:val="24"/>
        </w:rPr>
        <w:t xml:space="preserve"> </w:t>
      </w:r>
      <w:r w:rsidR="00FC6AC5" w:rsidRPr="00A708BD">
        <w:rPr>
          <w:sz w:val="24"/>
          <w:szCs w:val="24"/>
        </w:rPr>
        <w:t>eksekutif (pelaksanaan undang-undang), dan yudikatif (penegakan hukum dan pengadilan).</w:t>
      </w:r>
      <w:r w:rsidR="00FC6AC5" w:rsidRPr="00A708BD">
        <w:rPr>
          <w:rStyle w:val="ReferensiCatatanKaki"/>
          <w:sz w:val="24"/>
          <w:szCs w:val="24"/>
        </w:rPr>
        <w:footnoteReference w:id="2"/>
      </w:r>
    </w:p>
    <w:p w14:paraId="01B6F4DA" w14:textId="77D2D4E6" w:rsidR="00DD6812" w:rsidRDefault="0087373A" w:rsidP="00AB3729">
      <w:pPr>
        <w:pStyle w:val="DaftarParagraf"/>
        <w:tabs>
          <w:tab w:val="left" w:pos="1843"/>
        </w:tabs>
        <w:spacing w:line="360" w:lineRule="auto"/>
        <w:ind w:left="142" w:right="113"/>
        <w:outlineLvl w:val="1"/>
        <w:rPr>
          <w:sz w:val="24"/>
          <w:szCs w:val="24"/>
          <w:lang w:val="sv-SE"/>
        </w:rPr>
      </w:pPr>
      <w:r>
        <w:rPr>
          <w:sz w:val="24"/>
          <w:szCs w:val="24"/>
        </w:rPr>
        <w:tab/>
      </w:r>
      <w:r w:rsidR="00AB3729">
        <w:rPr>
          <w:sz w:val="24"/>
          <w:szCs w:val="24"/>
        </w:rPr>
        <w:t xml:space="preserve">        </w:t>
      </w:r>
      <w:r w:rsidR="00FC6AC5" w:rsidRPr="00A708BD">
        <w:rPr>
          <w:sz w:val="24"/>
          <w:szCs w:val="24"/>
        </w:rPr>
        <w:t>Dalam ilmu politik dan sosial, kekuasaan sendiri diartikan sebagai kemampuan atau kesempatan yang dimiliki oleh individu atau kelompok untuk memengaruhi perilaku, tindakan, dan keputusan pihak lain sesuai dengan kehendak pemegang kekuasaan tersebut, baik melalui kewenangan formal maupun pengaruh sosial. Sistem kekuasaan dengan demikian merupakan struktur yang mengorganisasi dan mengendalikan distribusi kekuasaan tersebut agar tercipta keseimbangan dan kontrol antar lembaga yang berwenang.</w:t>
      </w:r>
      <w:r w:rsidR="00FC6AC5" w:rsidRPr="00A708BD">
        <w:rPr>
          <w:rStyle w:val="ReferensiCatatanKaki"/>
          <w:sz w:val="24"/>
          <w:szCs w:val="24"/>
        </w:rPr>
        <w:footnoteReference w:id="3"/>
      </w:r>
      <w:r>
        <w:rPr>
          <w:sz w:val="24"/>
          <w:szCs w:val="24"/>
        </w:rPr>
        <w:t xml:space="preserve">    </w:t>
      </w:r>
      <w:r w:rsidR="00FC6AC5" w:rsidRPr="00A708BD">
        <w:rPr>
          <w:sz w:val="24"/>
          <w:szCs w:val="24"/>
        </w:rPr>
        <w:t xml:space="preserve">Kekuasaan kehakiman menurut pasal 24 ayat 1 UUD 1945 berbunyi: “Kekuasaan Kehakiman merupakan kekuasaan yang merdeka untuk menyelenggarakan peradilan guna menegakkan hukum dan keadilan.” Demikian tentang Kekuasaan Kehakiman yang memberikan pengertian kekuasaan kehakiman sebagai berikut: “Kekuasaan Kehakiman adalah kekuasaan negara yang merdeka untuk menyelenggarakan peradilan guna menegakkan hukum dan keadilan berdasarkan Pancasila dan Undang-Undang Dasar Negara Republik Indonesia Tahun 1945, demi terselenggaranya </w:t>
      </w:r>
      <w:r w:rsidR="00FC6AC5">
        <w:rPr>
          <w:sz w:val="24"/>
          <w:szCs w:val="24"/>
        </w:rPr>
        <w:t xml:space="preserve">Negara hukum Republik </w:t>
      </w:r>
      <w:r>
        <w:rPr>
          <w:sz w:val="24"/>
          <w:szCs w:val="24"/>
        </w:rPr>
        <w:t xml:space="preserve">Indonesia </w:t>
      </w:r>
      <w:r w:rsidR="00FC6AC5" w:rsidRPr="00A708BD">
        <w:rPr>
          <w:sz w:val="24"/>
          <w:szCs w:val="24"/>
        </w:rPr>
        <w:t>Berdasarkan pengertian tersebut dapat ditarik beberapa kesimpulan diantaranya sebagai berikut: Pertama, kekuasaan kehakiman adalah kekuasaan</w:t>
      </w:r>
      <w:r>
        <w:rPr>
          <w:sz w:val="24"/>
          <w:szCs w:val="24"/>
        </w:rPr>
        <w:t xml:space="preserve"> </w:t>
      </w:r>
      <w:r w:rsidR="00FC6AC5" w:rsidRPr="00A708BD">
        <w:rPr>
          <w:sz w:val="24"/>
          <w:szCs w:val="24"/>
        </w:rPr>
        <w:t>negara;</w:t>
      </w:r>
      <w:r w:rsidR="00DD6812">
        <w:rPr>
          <w:sz w:val="24"/>
          <w:szCs w:val="24"/>
        </w:rPr>
        <w:t xml:space="preserve"> </w:t>
      </w:r>
      <w:r>
        <w:rPr>
          <w:sz w:val="24"/>
          <w:szCs w:val="24"/>
        </w:rPr>
        <w:t>kedua</w:t>
      </w:r>
      <w:r w:rsidR="00FC6AC5" w:rsidRPr="00A708BD">
        <w:rPr>
          <w:sz w:val="24"/>
          <w:szCs w:val="24"/>
        </w:rPr>
        <w:t>, kekuasaa</w:t>
      </w:r>
      <w:r>
        <w:rPr>
          <w:sz w:val="24"/>
          <w:szCs w:val="24"/>
        </w:rPr>
        <w:t>n kehakiman</w:t>
      </w:r>
      <w:r w:rsidR="00FC6AC5" w:rsidRPr="00A708BD">
        <w:rPr>
          <w:sz w:val="24"/>
          <w:szCs w:val="24"/>
        </w:rPr>
        <w:t xml:space="preserve"> menyelenggarakan peradilan; Ketiga, kekuasaan kehakiman memiliki kekuasaan yang merdeka. </w:t>
      </w:r>
      <w:r w:rsidR="00FC6AC5" w:rsidRPr="00A708BD">
        <w:rPr>
          <w:sz w:val="24"/>
          <w:szCs w:val="24"/>
          <w:lang w:val="sv-SE"/>
        </w:rPr>
        <w:t>Penegasan diatas jelas dapat dijumpai dalam penjelasan resmi pasal 24 dan 25 UUD 1945. Bahkan penjelasan tersebut masih menguraikan sebuah harapan yakni: Berhubung dengan itu, harus diadakan jaminan dalam undang-undang tentang kedudukan para hakim.</w:t>
      </w:r>
      <w:r w:rsidR="00FC6AC5" w:rsidRPr="00A708BD">
        <w:rPr>
          <w:rStyle w:val="ReferensiCatatanKaki"/>
          <w:sz w:val="24"/>
          <w:szCs w:val="24"/>
        </w:rPr>
        <w:footnoteReference w:id="4"/>
      </w:r>
      <w:r w:rsidR="00FC6AC5" w:rsidRPr="00A708BD">
        <w:rPr>
          <w:sz w:val="24"/>
          <w:szCs w:val="24"/>
          <w:lang w:val="sv-SE"/>
        </w:rPr>
        <w:t xml:space="preserve"> Jaminan tentang kedudukan para hakim yang dimaksud dalam kaitan ini tidak lain adalah jaminan kemandirian hakim sebagai aparatur penyelenggaraan peradilan. Jika demikian tugas pokok dari kekuasaan kehakiman, maka pemberian kebebasan kepada kekuasaan kehakiman dalam melaksanakan peradilan memang sudah selayaknya, sebagaimana merupakan ciri-ciri negara hukum. Hal itu disebabkan karena perbuatan mengadili adalah perbuatan yang luhur untuk memberikan suatu putusan terhadap suatu perkara yang semata-mata harus didasarkan kepada kebenaran, kejujuran, dan keadilan.</w:t>
      </w:r>
    </w:p>
    <w:p w14:paraId="106A7B6B" w14:textId="22227586" w:rsidR="00FC6AC5" w:rsidRPr="00A708BD" w:rsidRDefault="00DD6812" w:rsidP="00AB3729">
      <w:pPr>
        <w:pStyle w:val="DaftarParagraf"/>
        <w:tabs>
          <w:tab w:val="left" w:pos="1843"/>
        </w:tabs>
        <w:spacing w:line="360" w:lineRule="auto"/>
        <w:ind w:left="142" w:right="113"/>
        <w:outlineLvl w:val="1"/>
        <w:rPr>
          <w:sz w:val="24"/>
          <w:szCs w:val="24"/>
        </w:rPr>
      </w:pPr>
      <w:r>
        <w:rPr>
          <w:sz w:val="24"/>
          <w:szCs w:val="24"/>
          <w:lang w:val="sv-SE"/>
        </w:rPr>
        <w:tab/>
      </w:r>
      <w:r w:rsidR="00AB3729">
        <w:rPr>
          <w:sz w:val="24"/>
          <w:szCs w:val="24"/>
          <w:lang w:val="sv-SE"/>
        </w:rPr>
        <w:t xml:space="preserve">      </w:t>
      </w:r>
      <w:r w:rsidR="00FC6AC5" w:rsidRPr="00A708BD">
        <w:rPr>
          <w:sz w:val="24"/>
          <w:szCs w:val="24"/>
          <w:lang w:val="sv-SE"/>
        </w:rPr>
        <w:t>Kekuasaan kehakiman memang mutlak harus dijauhkan dari tekanan atau pengaruh dari pihak manapun, baik oknum, golongan dalam masyarakat, apalagi yang namanya kekuasaan pemerintahan yang biasanya memiliki jaringan yang kuat dan luas, sehingga dikhawatirkan pihak yang lemah akan dirugikan”. Hal ini berarti bahwa kedudukan para hakim harus dijamin oleh Undang-Undang. Salah satu ciri dari Negara hukum adalah terdapat suatu kemerdekaan hakim yang bebas, tidak memihak dan tidak dipengaruhi oleh Kekuasaan Legislatif dan Eksekutif. Kebebasan hakim tersebut tidak dapat diartikan bahwa hakim dapat melakukan tindakan sewenang-wenang terhadap suatu perkara yang sedang ditanganinya, akan tetapi hakim tetap terikat pada peraturan hukum yang ada. Fungsi kekuasaan kehakiman diatur dalam Pasal 1 UU No. 48 tahun 2009 yang berbunyi “Kekuasaan kehakiman adalah kekuasaan negara yang merdeka untuk menyelenggarakan peradilan guna menegakkan hukum dan keadilan berdasarkan Pancasila, demi terselenggaranya negara Hukum Republik Indonesia.</w:t>
      </w:r>
      <w:r w:rsidR="00FC6AC5">
        <w:rPr>
          <w:sz w:val="24"/>
          <w:szCs w:val="24"/>
          <w:lang w:val="sv-SE"/>
        </w:rPr>
        <w:t xml:space="preserve"> </w:t>
      </w:r>
      <w:r w:rsidR="00FC6AC5" w:rsidRPr="00A708BD">
        <w:rPr>
          <w:sz w:val="24"/>
          <w:szCs w:val="24"/>
          <w:lang w:val="sv-SE"/>
        </w:rPr>
        <w:t>Hakim berbeda dengan pejabat-pejabat yang lain, ia harus benar-benar menguasai hukum, bukan sekedar mengandalkan kejujuran dan kemauan baiknya.</w:t>
      </w:r>
      <w:r w:rsidR="0087373A" w:rsidRPr="0087373A">
        <w:rPr>
          <w:sz w:val="24"/>
          <w:szCs w:val="24"/>
          <w:lang w:val="sv-SE"/>
        </w:rPr>
        <w:t xml:space="preserve"> Wirjono Prodjodikoro</w:t>
      </w:r>
      <w:r w:rsidR="0087373A">
        <w:rPr>
          <w:sz w:val="24"/>
          <w:szCs w:val="24"/>
          <w:lang w:val="sv-SE"/>
        </w:rPr>
        <w:t xml:space="preserve"> </w:t>
      </w:r>
      <w:r w:rsidR="00FC6AC5" w:rsidRPr="00A708BD">
        <w:rPr>
          <w:sz w:val="24"/>
          <w:szCs w:val="24"/>
          <w:lang w:val="sv-SE"/>
        </w:rPr>
        <w:t xml:space="preserve">berpendapat: “Perbedaan antara pengadilan dan instansi-instansi lain ialah, bahwa pengadilan dalam melakukan tugasnya sehari-hari selalu secara positif dan aktif memperhatikan dan melaksanakan macam-macam peraturan hukum yang berlaku dalam suatu Negara. Di bidang hukum pidana hakim bertugas menerapkan apa </w:t>
      </w:r>
      <w:r w:rsidR="00FC6AC5" w:rsidRPr="00A708BD">
        <w:rPr>
          <w:i/>
          <w:iCs/>
          <w:sz w:val="24"/>
          <w:szCs w:val="24"/>
          <w:lang w:val="sv-SE"/>
        </w:rPr>
        <w:t>in concreto</w:t>
      </w:r>
      <w:r w:rsidR="00FC6AC5" w:rsidRPr="00A708BD">
        <w:rPr>
          <w:sz w:val="24"/>
          <w:szCs w:val="24"/>
          <w:lang w:val="sv-SE"/>
        </w:rPr>
        <w:t xml:space="preserve"> ada oleh seorang terdakwa dilakukan suatu perbuatan melanggar hukum pidana. Untuk menetapkan ini oleh hakim harus dinyatakan secara tepat Hukum Pidana mana telah dilanggar.</w:t>
      </w:r>
      <w:r w:rsidR="00FC6AC5" w:rsidRPr="00A708BD">
        <w:rPr>
          <w:rStyle w:val="ReferensiCatatanKaki"/>
          <w:sz w:val="24"/>
          <w:szCs w:val="24"/>
        </w:rPr>
        <w:footnoteReference w:id="5"/>
      </w:r>
      <w:r w:rsidR="00FC6AC5" w:rsidRPr="00A708BD">
        <w:rPr>
          <w:sz w:val="24"/>
          <w:szCs w:val="24"/>
          <w:lang w:val="sv-SE"/>
        </w:rPr>
        <w:t xml:space="preserve"> .Masalah kebebasan hakim perlu dihubungkan dengan masalah bagaimana hakim dapat menemukan hukum berdasarkan keyakinannya dalam menangani suatu perkara. </w:t>
      </w:r>
      <w:r w:rsidR="00FC6AC5" w:rsidRPr="00A708BD">
        <w:rPr>
          <w:sz w:val="24"/>
          <w:szCs w:val="24"/>
        </w:rPr>
        <w:t>Kebebasan hakim dalam menemukan hukum tidaklah berarti ia menciptakan hukum. Tetapi untuk menemukan hukum, hakim dapat bercermin pada yurisprudensi dan pendapat ahli hukum yang biasa disebut dengan doktrin.</w:t>
      </w:r>
    </w:p>
    <w:p w14:paraId="394435A9" w14:textId="5CF859C1" w:rsidR="00AB3729" w:rsidRDefault="0087373A" w:rsidP="00AB3729">
      <w:pPr>
        <w:pStyle w:val="DaftarParagraf"/>
        <w:tabs>
          <w:tab w:val="left" w:pos="1843"/>
        </w:tabs>
        <w:spacing w:line="360" w:lineRule="auto"/>
        <w:ind w:left="142" w:right="113"/>
        <w:outlineLvl w:val="1"/>
        <w:rPr>
          <w:sz w:val="24"/>
          <w:szCs w:val="24"/>
        </w:rPr>
      </w:pPr>
      <w:r>
        <w:rPr>
          <w:sz w:val="24"/>
          <w:szCs w:val="24"/>
        </w:rPr>
        <w:tab/>
      </w:r>
      <w:r w:rsidR="00FC6AC5" w:rsidRPr="00A708BD">
        <w:rPr>
          <w:sz w:val="24"/>
          <w:szCs w:val="24"/>
        </w:rPr>
        <w:t>Menurut</w:t>
      </w:r>
      <w:r>
        <w:rPr>
          <w:sz w:val="24"/>
          <w:szCs w:val="24"/>
        </w:rPr>
        <w:t xml:space="preserve"> muchsin </w:t>
      </w:r>
      <w:r w:rsidR="00FC6AC5" w:rsidRPr="00A708BD">
        <w:rPr>
          <w:sz w:val="24"/>
          <w:szCs w:val="24"/>
        </w:rPr>
        <w:t>bahwa</w:t>
      </w:r>
      <w:r>
        <w:rPr>
          <w:sz w:val="24"/>
          <w:szCs w:val="24"/>
        </w:rPr>
        <w:t xml:space="preserve">: </w:t>
      </w:r>
      <w:r w:rsidR="00FC6AC5" w:rsidRPr="00A708BD">
        <w:rPr>
          <w:sz w:val="24"/>
          <w:szCs w:val="24"/>
        </w:rPr>
        <w:t xml:space="preserve">Berhubungan dengan kebebasan hakim ini, perlu pula dijelaskan mengenai posisi hakim yang tidak memihak </w:t>
      </w:r>
      <w:r w:rsidR="00FC6AC5" w:rsidRPr="00A708BD">
        <w:rPr>
          <w:i/>
          <w:iCs/>
          <w:sz w:val="24"/>
          <w:szCs w:val="24"/>
        </w:rPr>
        <w:t>(impartial judge</w:t>
      </w:r>
      <w:r w:rsidR="00FC6AC5" w:rsidRPr="00A708BD">
        <w:rPr>
          <w:sz w:val="24"/>
          <w:szCs w:val="24"/>
        </w:rPr>
        <w:t>). Istilah tidak memihak disini tidak diartikan secara harafiah, karena dalam menjatuhkan putusannya hakim harus memihak kepada yang benar.</w:t>
      </w:r>
      <w:r w:rsidR="00FC6AC5" w:rsidRPr="00A708BD">
        <w:rPr>
          <w:rStyle w:val="ReferensiCatatanKaki"/>
          <w:sz w:val="24"/>
          <w:szCs w:val="24"/>
        </w:rPr>
        <w:footnoteReference w:id="6"/>
      </w:r>
    </w:p>
    <w:p w14:paraId="6A3475C4" w14:textId="300B96AD" w:rsidR="00740408" w:rsidRPr="00AB3729" w:rsidRDefault="00AB3729" w:rsidP="00AB3729">
      <w:pPr>
        <w:pStyle w:val="DaftarParagraf"/>
        <w:tabs>
          <w:tab w:val="left" w:pos="1843"/>
        </w:tabs>
        <w:spacing w:line="360" w:lineRule="auto"/>
        <w:ind w:left="142" w:right="113"/>
        <w:outlineLvl w:val="1"/>
        <w:rPr>
          <w:sz w:val="24"/>
          <w:szCs w:val="24"/>
        </w:rPr>
      </w:pPr>
      <w:r>
        <w:rPr>
          <w:sz w:val="24"/>
          <w:szCs w:val="24"/>
        </w:rPr>
        <w:tab/>
        <w:t xml:space="preserve">      </w:t>
      </w:r>
      <w:r w:rsidR="0087373A" w:rsidRPr="00AB3729">
        <w:rPr>
          <w:sz w:val="24"/>
          <w:szCs w:val="24"/>
          <w:lang w:val="sv-SE"/>
        </w:rPr>
        <w:t>Andi ha</w:t>
      </w:r>
      <w:r w:rsidR="00FC6AC5" w:rsidRPr="00AB3729">
        <w:rPr>
          <w:sz w:val="24"/>
          <w:szCs w:val="24"/>
          <w:lang w:val="sv-SE"/>
        </w:rPr>
        <w:t>mzah menjelaskan: “Dalam hal ini, hakim tidak memihak diartikan tidak berat sebelah dalam pertimbangan dan penilaiannya. Hakim tidak memihak berarti juga bahwa hakim itu tidak menjalankan perintah dari pemerintah. Bahkan jika harus demikian, menurut hukum hakim dapat memutuskan menghukum pemerintah, misalnya tentang keharusan ganti kerugian yang tercantum dalam KUHAP.</w:t>
      </w:r>
      <w:r w:rsidR="00FC6AC5" w:rsidRPr="00A708BD">
        <w:rPr>
          <w:rStyle w:val="ReferensiCatatanKaki"/>
          <w:sz w:val="24"/>
          <w:szCs w:val="24"/>
        </w:rPr>
        <w:footnoteReference w:id="7"/>
      </w:r>
      <w:bookmarkStart w:id="1" w:name="_Toc182427995"/>
    </w:p>
    <w:p w14:paraId="64A29759" w14:textId="7F22FA26" w:rsidR="00401082" w:rsidRPr="00401082" w:rsidRDefault="00401082" w:rsidP="00AB3729">
      <w:pPr>
        <w:pStyle w:val="DaftarParagraf"/>
        <w:numPr>
          <w:ilvl w:val="0"/>
          <w:numId w:val="27"/>
        </w:numPr>
        <w:tabs>
          <w:tab w:val="left" w:pos="1843"/>
        </w:tabs>
        <w:spacing w:line="360" w:lineRule="auto"/>
        <w:ind w:left="284" w:right="113"/>
        <w:outlineLvl w:val="1"/>
        <w:rPr>
          <w:b/>
          <w:bCs/>
          <w:sz w:val="24"/>
          <w:szCs w:val="24"/>
          <w:lang w:val="sv-SE"/>
        </w:rPr>
      </w:pPr>
      <w:r w:rsidRPr="00401082">
        <w:rPr>
          <w:b/>
          <w:bCs/>
          <w:sz w:val="24"/>
          <w:szCs w:val="24"/>
          <w:lang w:val="sv-SE"/>
        </w:rPr>
        <w:t xml:space="preserve">Prinsip dasar kekuasaan kehakiman </w:t>
      </w:r>
    </w:p>
    <w:p w14:paraId="2A027428" w14:textId="1EEBF3E5" w:rsidR="00DD6812" w:rsidRDefault="00AB3729" w:rsidP="00AB3729">
      <w:pPr>
        <w:pStyle w:val="DaftarParagraf"/>
        <w:tabs>
          <w:tab w:val="left" w:pos="1843"/>
        </w:tabs>
        <w:spacing w:line="360" w:lineRule="auto"/>
        <w:ind w:left="284" w:right="-74" w:firstLine="0"/>
        <w:outlineLvl w:val="1"/>
        <w:rPr>
          <w:sz w:val="24"/>
          <w:szCs w:val="24"/>
          <w:lang w:val="id-ID" w:eastAsia="id-ID"/>
        </w:rPr>
      </w:pPr>
      <w:r>
        <w:rPr>
          <w:sz w:val="24"/>
          <w:szCs w:val="24"/>
          <w:lang w:val="id-ID"/>
        </w:rPr>
        <w:t xml:space="preserve">      </w:t>
      </w:r>
      <w:r w:rsidR="00DD6812" w:rsidRPr="00740408">
        <w:rPr>
          <w:sz w:val="24"/>
          <w:szCs w:val="24"/>
          <w:lang w:val="id-ID"/>
        </w:rPr>
        <w:t>Kekuasaan kehakiman tidak dapat dipisahkan dari konsep negara hukum (</w:t>
      </w:r>
      <w:r w:rsidR="00DD6812" w:rsidRPr="00740408">
        <w:rPr>
          <w:i/>
          <w:iCs/>
          <w:sz w:val="24"/>
          <w:szCs w:val="24"/>
          <w:lang w:val="id-ID"/>
        </w:rPr>
        <w:t>rechtsstaat</w:t>
      </w:r>
      <w:r w:rsidR="00DD6812" w:rsidRPr="00740408">
        <w:rPr>
          <w:sz w:val="24"/>
          <w:szCs w:val="24"/>
          <w:lang w:val="id-ID"/>
        </w:rPr>
        <w:t>).</w:t>
      </w:r>
      <w:r w:rsidR="00DD6812" w:rsidRPr="00A708BD">
        <w:rPr>
          <w:rStyle w:val="ReferensiCatatanKaki"/>
          <w:sz w:val="24"/>
          <w:szCs w:val="24"/>
        </w:rPr>
        <w:footnoteReference w:id="8"/>
      </w:r>
      <w:r w:rsidR="00DD6812" w:rsidRPr="00740408">
        <w:rPr>
          <w:sz w:val="24"/>
          <w:szCs w:val="24"/>
          <w:lang w:val="id-ID"/>
        </w:rPr>
        <w:t>yang</w:t>
      </w:r>
      <w:r w:rsidR="00740408">
        <w:rPr>
          <w:sz w:val="24"/>
          <w:szCs w:val="24"/>
          <w:lang w:val="id-ID"/>
        </w:rPr>
        <w:t xml:space="preserve"> </w:t>
      </w:r>
      <w:r w:rsidR="00DD6812" w:rsidRPr="00740408">
        <w:rPr>
          <w:sz w:val="24"/>
          <w:szCs w:val="24"/>
          <w:lang w:val="id-ID"/>
        </w:rPr>
        <w:t>keberadaannya harus independen yang terbebas dari pengaruh kekuasaan legislatif maupun eksekutif serta para pihak yang berperkara sehingga akan mampu menyatakan secara hukum sah atau tidak sah tindakan pemerintah demi perlindungan hak-hak masyarakat.</w:t>
      </w:r>
      <w:r w:rsidR="00DD6812" w:rsidRPr="00A708BD">
        <w:rPr>
          <w:rStyle w:val="ReferensiCatatanKaki"/>
          <w:sz w:val="24"/>
          <w:szCs w:val="24"/>
        </w:rPr>
        <w:footnoteReference w:id="9"/>
      </w:r>
      <w:r w:rsidR="00401082">
        <w:rPr>
          <w:sz w:val="24"/>
          <w:szCs w:val="24"/>
          <w:lang w:val="id-ID"/>
        </w:rPr>
        <w:t xml:space="preserve"> </w:t>
      </w:r>
      <w:r w:rsidR="00DD6812" w:rsidRPr="00740408">
        <w:rPr>
          <w:sz w:val="24"/>
          <w:szCs w:val="24"/>
          <w:lang w:val="id-ID"/>
        </w:rPr>
        <w:t>agar dapat menjalankan fungsi peradilan secara objektif dan adil. Menegakkan Hukum dan Keadilan: Tujuan utama kekuasaan kehakiman adalah menegakkan hukum dan keadilan di masyarakat sesuai dengan nilai-nilai Pancasila dan konstitusi. Berdasarkan Negara Hukum: Kekuasaan  kehakiman merupakan bagian dari prinsip negara hukum, di mana segala tindakan pemerintah dan warga negara harus tunduk pada hukum yang berlaku</w:t>
      </w:r>
      <w:r w:rsidR="00DD6812" w:rsidRPr="00740408">
        <w:rPr>
          <w:sz w:val="24"/>
          <w:szCs w:val="24"/>
          <w:lang w:val="id-ID" w:eastAsia="id-ID"/>
        </w:rPr>
        <w:t xml:space="preserve"> </w:t>
      </w:r>
      <w:r w:rsidR="00401082">
        <w:rPr>
          <w:sz w:val="24"/>
          <w:szCs w:val="24"/>
          <w:lang w:val="id-ID" w:eastAsia="id-ID"/>
        </w:rPr>
        <w:t>.</w:t>
      </w:r>
    </w:p>
    <w:p w14:paraId="01F81155" w14:textId="77777777" w:rsidR="00AB3729" w:rsidRDefault="00401082" w:rsidP="00AB3729">
      <w:pPr>
        <w:pStyle w:val="DaftarParagraf"/>
        <w:widowControl/>
        <w:numPr>
          <w:ilvl w:val="0"/>
          <w:numId w:val="27"/>
        </w:numPr>
        <w:autoSpaceDE/>
        <w:autoSpaceDN/>
        <w:spacing w:after="160" w:line="480" w:lineRule="auto"/>
        <w:ind w:left="709" w:right="0"/>
        <w:contextualSpacing/>
        <w:outlineLvl w:val="2"/>
        <w:rPr>
          <w:b/>
          <w:bCs/>
          <w:sz w:val="24"/>
          <w:szCs w:val="24"/>
          <w:lang w:val="id-ID"/>
        </w:rPr>
      </w:pPr>
      <w:bookmarkStart w:id="2" w:name="_Toc182427996"/>
      <w:r w:rsidRPr="005C01BE">
        <w:rPr>
          <w:b/>
          <w:bCs/>
          <w:sz w:val="24"/>
          <w:szCs w:val="24"/>
          <w:lang w:val="id-ID"/>
        </w:rPr>
        <w:t>Teori Kekuasaan Kehakiman</w:t>
      </w:r>
      <w:bookmarkEnd w:id="2"/>
    </w:p>
    <w:p w14:paraId="6824FC14" w14:textId="77777777" w:rsidR="00AB3729" w:rsidRDefault="00AB3729" w:rsidP="00AB3729">
      <w:pPr>
        <w:pStyle w:val="DaftarParagraf"/>
        <w:widowControl/>
        <w:autoSpaceDE/>
        <w:autoSpaceDN/>
        <w:spacing w:after="160" w:line="360" w:lineRule="auto"/>
        <w:ind w:left="349" w:right="0" w:firstLine="0"/>
        <w:contextualSpacing/>
        <w:outlineLvl w:val="2"/>
        <w:rPr>
          <w:sz w:val="24"/>
          <w:szCs w:val="24"/>
          <w:lang w:val="id-ID"/>
        </w:rPr>
      </w:pPr>
      <w:r>
        <w:rPr>
          <w:b/>
          <w:bCs/>
          <w:sz w:val="24"/>
          <w:szCs w:val="24"/>
          <w:lang w:val="id-ID"/>
        </w:rPr>
        <w:t xml:space="preserve">      </w:t>
      </w:r>
      <w:r w:rsidR="00401082" w:rsidRPr="00AB3729">
        <w:rPr>
          <w:sz w:val="24"/>
          <w:szCs w:val="24"/>
          <w:lang w:val="id-ID"/>
        </w:rPr>
        <w:t>Teori kekuasaan kehakiman merupakan bagian dari teori pembagian  kekuasaan (</w:t>
      </w:r>
      <w:r w:rsidR="00401082" w:rsidRPr="00AB3729">
        <w:rPr>
          <w:i/>
          <w:iCs/>
          <w:sz w:val="24"/>
          <w:szCs w:val="24"/>
          <w:lang w:val="id-ID"/>
        </w:rPr>
        <w:t>Trias Politica</w:t>
      </w:r>
      <w:r w:rsidR="00401082" w:rsidRPr="00AB3729">
        <w:rPr>
          <w:sz w:val="24"/>
          <w:szCs w:val="24"/>
          <w:lang w:val="id-ID"/>
        </w:rPr>
        <w:t>) yang dikemukakan oleh Montesquieu.</w:t>
      </w:r>
    </w:p>
    <w:p w14:paraId="4C50B2FF" w14:textId="77777777" w:rsidR="00AB3729" w:rsidRDefault="00401082" w:rsidP="00AB3729">
      <w:pPr>
        <w:pStyle w:val="DaftarParagraf"/>
        <w:widowControl/>
        <w:autoSpaceDE/>
        <w:autoSpaceDN/>
        <w:spacing w:after="160" w:line="360" w:lineRule="auto"/>
        <w:ind w:left="349" w:right="0" w:firstLine="371"/>
        <w:contextualSpacing/>
        <w:outlineLvl w:val="2"/>
        <w:rPr>
          <w:sz w:val="24"/>
          <w:szCs w:val="24"/>
          <w:lang w:val="id-ID"/>
        </w:rPr>
      </w:pPr>
      <w:r w:rsidRPr="00AB3729">
        <w:rPr>
          <w:sz w:val="24"/>
          <w:szCs w:val="24"/>
          <w:lang w:val="id-ID"/>
        </w:rPr>
        <w:t xml:space="preserve"> Dalam teori ini, kekuasaan kehakiman (yudikatif) adalah kekuasaan yang berdiri sendiri dan terpisah dari kekuasaan eksekutif dan legislatif. Kekuasaan kehakiman berfungsi  untuk mengadili, mengawasi pelaksanaan peraturan perundang-undangan,menegakkan hukum, serta menyelesaikan perselisihan secara independen tanpa campur tangan dari cabang kekuasaan lain.  Menurut Bagir Manan: kekuasaan kehakiman yang merdeka memiliki tujuan utama:Menjamin dan melindungi kebebasan individu, Mencegah penyelenggara pemerintahan bertindak sewenang-wenang,Menilai keabsahan tindakan pemerintahan atau peraturan perundang-undangan agar sistem hukum dapat ditegakkan dengan baik.</w:t>
      </w:r>
      <w:r w:rsidRPr="00A708BD">
        <w:rPr>
          <w:rStyle w:val="ReferensiCatatanKaki"/>
          <w:sz w:val="24"/>
          <w:szCs w:val="24"/>
        </w:rPr>
        <w:footnoteReference w:id="10"/>
      </w:r>
      <w:r w:rsidRPr="00AB3729">
        <w:rPr>
          <w:sz w:val="24"/>
          <w:szCs w:val="24"/>
          <w:lang w:val="id-ID"/>
        </w:rPr>
        <w:t xml:space="preserve"> Kekuasaan kehakiman yang merdeka sebagaimana pernyataan Bagir Manan di atas bukan hanya dimaksudkan untuk melindungi kebebasan individu, membatasi tindakan pemerintah agar tidak melampaui undang-undang dan menciptakan kebebasan dan kemandirian penyeleggara kekuasaan kehakiman semata, akan tetapi hal itu juga merupakan pelaksanaan dari ketentuan UUD yang lain, yang menjamin kebebasan individu, dan pencegahan tindakan pemerintah yang sewenang-wenang dengan mendasarkan pada Negara Hukum. </w:t>
      </w:r>
    </w:p>
    <w:p w14:paraId="248AD40E" w14:textId="4EEFD154" w:rsidR="00401082" w:rsidRDefault="00401082" w:rsidP="00AB3729">
      <w:pPr>
        <w:pStyle w:val="DaftarParagraf"/>
        <w:widowControl/>
        <w:autoSpaceDE/>
        <w:autoSpaceDN/>
        <w:spacing w:after="160" w:line="360" w:lineRule="auto"/>
        <w:ind w:left="349" w:right="0" w:firstLine="371"/>
        <w:contextualSpacing/>
        <w:outlineLvl w:val="2"/>
        <w:rPr>
          <w:sz w:val="24"/>
          <w:szCs w:val="24"/>
        </w:rPr>
      </w:pPr>
      <w:r w:rsidRPr="00AB3729">
        <w:rPr>
          <w:sz w:val="24"/>
          <w:szCs w:val="24"/>
          <w:lang w:val="id-ID"/>
        </w:rPr>
        <w:t xml:space="preserve">Dengan demikian pelaksanaan kebebasan kekuasaan kehakiman yang merdeka tersebut merupakan bagian tak terpisahkan dari pelaksanaan sistem yang terkandung dalam UUD 1945 dan juga sesuai dengan nilai-nilai yang dijunjung oleh dunia internasional melalui </w:t>
      </w:r>
      <w:r w:rsidRPr="00AB3729">
        <w:rPr>
          <w:i/>
          <w:iCs/>
          <w:sz w:val="24"/>
          <w:szCs w:val="24"/>
          <w:lang w:val="id-ID"/>
        </w:rPr>
        <w:t>The Universal Declaration of Human Rights</w:t>
      </w:r>
      <w:r w:rsidRPr="00AB3729">
        <w:rPr>
          <w:sz w:val="24"/>
          <w:szCs w:val="24"/>
          <w:lang w:val="id-ID"/>
        </w:rPr>
        <w:t>.Kekuasaan kehakiman adalah kekuasaan negara yang merdeka untuk menyelenggarakan peradilan guna menegakkan hukum dan keadilan berdasarkan Pancasila dan UUD 1945 demi terselenggaranya Negara Hukum Republik Indonesia Kekuasaan kehakiman menurut UUD 1945 di Indonesia dilaksanakan oleh Mahkamah Agung dan oleh  Mahkamah konstitusi.</w:t>
      </w:r>
      <w:r w:rsidRPr="00A708BD">
        <w:rPr>
          <w:rStyle w:val="ReferensiCatatanKaki"/>
          <w:sz w:val="24"/>
          <w:szCs w:val="24"/>
        </w:rPr>
        <w:footnoteReference w:id="11"/>
      </w:r>
      <w:r w:rsidR="00AB3729">
        <w:rPr>
          <w:sz w:val="24"/>
          <w:szCs w:val="24"/>
          <w:lang w:val="id-ID"/>
        </w:rPr>
        <w:t xml:space="preserve"> </w:t>
      </w:r>
      <w:r w:rsidRPr="00AB3729">
        <w:rPr>
          <w:sz w:val="24"/>
          <w:szCs w:val="24"/>
        </w:rPr>
        <w:t>Masing-masing kewenangan lembaga pelaksana dan lembaga negara yang fungsinya terkait dengan kekuasaan kehakiman tersebut ditentukan oleh UUD 1945 dan peraturan perundang-undangan sebagaimana terurai di bawah ini :</w:t>
      </w:r>
    </w:p>
    <w:p w14:paraId="4D49246A" w14:textId="77777777" w:rsidR="00AC4900" w:rsidRDefault="00AC4900" w:rsidP="00AC4900">
      <w:pPr>
        <w:pStyle w:val="DaftarParagraf"/>
        <w:widowControl/>
        <w:numPr>
          <w:ilvl w:val="0"/>
          <w:numId w:val="32"/>
        </w:numPr>
        <w:autoSpaceDE/>
        <w:autoSpaceDN/>
        <w:spacing w:after="160" w:line="480" w:lineRule="auto"/>
        <w:ind w:right="0"/>
        <w:contextualSpacing/>
        <w:jc w:val="left"/>
        <w:rPr>
          <w:sz w:val="24"/>
          <w:szCs w:val="24"/>
          <w:lang w:val="id-ID"/>
        </w:rPr>
      </w:pPr>
      <w:r w:rsidRPr="0028271D">
        <w:rPr>
          <w:sz w:val="24"/>
          <w:szCs w:val="24"/>
          <w:lang w:val="id-ID"/>
        </w:rPr>
        <w:t>Mahkamah Agung</w:t>
      </w:r>
    </w:p>
    <w:p w14:paraId="731ED640" w14:textId="77777777" w:rsidR="00AC4900" w:rsidRDefault="00AC4900" w:rsidP="00AC4900">
      <w:pPr>
        <w:pStyle w:val="DaftarParagraf"/>
        <w:widowControl/>
        <w:autoSpaceDE/>
        <w:autoSpaceDN/>
        <w:spacing w:after="160" w:line="360" w:lineRule="auto"/>
        <w:ind w:left="426" w:right="0" w:firstLine="0"/>
        <w:contextualSpacing/>
        <w:rPr>
          <w:sz w:val="24"/>
          <w:szCs w:val="24"/>
          <w:lang w:val="id-ID" w:eastAsia="id-ID"/>
        </w:rPr>
      </w:pPr>
      <w:r>
        <w:rPr>
          <w:sz w:val="24"/>
          <w:szCs w:val="24"/>
          <w:lang w:val="id-ID"/>
        </w:rPr>
        <w:t xml:space="preserve">      </w:t>
      </w:r>
      <w:r w:rsidRPr="00AC4900">
        <w:rPr>
          <w:sz w:val="24"/>
          <w:szCs w:val="24"/>
          <w:lang w:val="id-ID"/>
        </w:rPr>
        <w:t>Sebagaimana telah diuraikan di atas, Mahkamah Agung merupakan salah satu pelaksana kekuasaan kehakiman di Indonesia sebagaimana dimaksud dalam UUD 1945 Pasal 24 ayat (2) dan Pasal 24A ayat (1) dan Undang-Undang Nomor 48 Tahun 2009 tentang Kekuasaan Kehakiman serta Undang-Undang Nomor 14 Tahun 1985 tentang Mahkamah Agung sebagaimana telah diubah dengan Undang-Undang Nomor 5 Tahun 2004 tentang Perubahan atas Undang-Undang Nomor 14 Tahun 1985 tentang Mahkamah Agung dan Undang-Undang Nomor 3 Tahun 2009 tentang Perubahan Kedua atas Undang-Undang Nomor 14 Tahun 1985 tentang Mahkamah Agung (UU MA).</w:t>
      </w:r>
      <w:r w:rsidRPr="00A708BD">
        <w:rPr>
          <w:rStyle w:val="ReferensiCatatanKaki"/>
          <w:sz w:val="24"/>
          <w:szCs w:val="24"/>
        </w:rPr>
        <w:footnoteReference w:id="12"/>
      </w:r>
      <w:r>
        <w:rPr>
          <w:sz w:val="24"/>
          <w:szCs w:val="24"/>
          <w:lang w:val="id-ID"/>
        </w:rPr>
        <w:t xml:space="preserve"> </w:t>
      </w:r>
      <w:r w:rsidRPr="00AC4900">
        <w:rPr>
          <w:sz w:val="24"/>
          <w:szCs w:val="24"/>
          <w:lang w:val="id-ID"/>
        </w:rPr>
        <w:t>Pasal 24A(1) Mahkamah Agung berwenang mengadili pada tingkat kasasi, menguji peraturan perundang-undangan di bawah undang-undang terhadap undang-undang, dan mempunyai wewenang lainnya yang diberikan oleh undang-undang. Kewenangan Mahkamah Agung tersebut kemudian dielaborasi lagi dalam UU MA antara lain sebagai berikut meliputi</w:t>
      </w:r>
      <w:r w:rsidRPr="00AC4900">
        <w:rPr>
          <w:sz w:val="24"/>
          <w:szCs w:val="24"/>
          <w:lang w:val="id-ID" w:eastAsia="id-ID"/>
        </w:rPr>
        <w:t xml:space="preserve"> :</w:t>
      </w:r>
    </w:p>
    <w:p w14:paraId="220712F5" w14:textId="27D36037" w:rsidR="00AC4900" w:rsidRPr="00AC4900" w:rsidRDefault="00AC4900" w:rsidP="00AC4900">
      <w:pPr>
        <w:pStyle w:val="DaftarParagraf"/>
        <w:widowControl/>
        <w:autoSpaceDE/>
        <w:autoSpaceDN/>
        <w:spacing w:after="160" w:line="360" w:lineRule="auto"/>
        <w:ind w:left="851" w:right="0" w:firstLine="0"/>
        <w:contextualSpacing/>
        <w:rPr>
          <w:sz w:val="24"/>
          <w:szCs w:val="24"/>
          <w:lang w:val="id-ID"/>
        </w:rPr>
      </w:pPr>
      <w:r w:rsidRPr="00AC4900">
        <w:rPr>
          <w:sz w:val="24"/>
          <w:szCs w:val="24"/>
          <w:lang w:val="id-ID"/>
        </w:rPr>
        <w:t>Mahkamah Agung bertugas dan berwenang memeriksa dan memutus:</w:t>
      </w:r>
    </w:p>
    <w:p w14:paraId="046F0139" w14:textId="77777777" w:rsidR="00AC4900" w:rsidRPr="0028271D" w:rsidRDefault="00AC4900" w:rsidP="00AC4900">
      <w:pPr>
        <w:pStyle w:val="DaftarParagraf"/>
        <w:widowControl/>
        <w:numPr>
          <w:ilvl w:val="0"/>
          <w:numId w:val="29"/>
        </w:numPr>
        <w:autoSpaceDE/>
        <w:autoSpaceDN/>
        <w:spacing w:after="160" w:line="360" w:lineRule="auto"/>
        <w:ind w:left="1276" w:right="0"/>
        <w:contextualSpacing/>
        <w:rPr>
          <w:sz w:val="24"/>
          <w:szCs w:val="24"/>
          <w:lang w:val="id-ID"/>
        </w:rPr>
      </w:pPr>
      <w:r w:rsidRPr="0028271D">
        <w:rPr>
          <w:sz w:val="24"/>
          <w:szCs w:val="24"/>
          <w:lang w:val="id-ID"/>
        </w:rPr>
        <w:t xml:space="preserve"> permohonan kasasi;</w:t>
      </w:r>
    </w:p>
    <w:p w14:paraId="318E8E5F" w14:textId="39BB8191" w:rsidR="00AC4900" w:rsidRPr="0028271D" w:rsidRDefault="00AC4900" w:rsidP="00AC4900">
      <w:pPr>
        <w:pStyle w:val="DaftarParagraf"/>
        <w:widowControl/>
        <w:numPr>
          <w:ilvl w:val="0"/>
          <w:numId w:val="29"/>
        </w:numPr>
        <w:autoSpaceDE/>
        <w:autoSpaceDN/>
        <w:spacing w:after="160" w:line="360" w:lineRule="auto"/>
        <w:ind w:left="1276" w:right="0"/>
        <w:contextualSpacing/>
        <w:rPr>
          <w:sz w:val="24"/>
          <w:szCs w:val="24"/>
          <w:lang w:val="id-ID"/>
        </w:rPr>
      </w:pPr>
      <w:r>
        <w:rPr>
          <w:sz w:val="24"/>
          <w:szCs w:val="24"/>
          <w:lang w:val="id-ID"/>
        </w:rPr>
        <w:t xml:space="preserve"> </w:t>
      </w:r>
      <w:r w:rsidRPr="0028271D">
        <w:rPr>
          <w:sz w:val="24"/>
          <w:szCs w:val="24"/>
          <w:lang w:val="id-ID"/>
        </w:rPr>
        <w:t xml:space="preserve">sengketa tentang kewenangan </w:t>
      </w:r>
      <w:r>
        <w:rPr>
          <w:sz w:val="24"/>
          <w:szCs w:val="24"/>
          <w:lang w:val="id-ID"/>
        </w:rPr>
        <w:t xml:space="preserve"> </w:t>
      </w:r>
      <w:r w:rsidRPr="0028271D">
        <w:rPr>
          <w:sz w:val="24"/>
          <w:szCs w:val="24"/>
          <w:lang w:val="id-ID"/>
        </w:rPr>
        <w:t>mengadili;</w:t>
      </w:r>
    </w:p>
    <w:p w14:paraId="44F8A1DC" w14:textId="478AFA92" w:rsidR="00AC4900" w:rsidRPr="0028271D" w:rsidRDefault="00AC4900" w:rsidP="00AC4900">
      <w:pPr>
        <w:pStyle w:val="DaftarParagraf"/>
        <w:widowControl/>
        <w:numPr>
          <w:ilvl w:val="0"/>
          <w:numId w:val="29"/>
        </w:numPr>
        <w:autoSpaceDE/>
        <w:autoSpaceDN/>
        <w:spacing w:after="160" w:line="360" w:lineRule="auto"/>
        <w:ind w:left="1276" w:right="0"/>
        <w:contextualSpacing/>
        <w:rPr>
          <w:sz w:val="24"/>
          <w:szCs w:val="24"/>
          <w:lang w:val="id-ID"/>
        </w:rPr>
      </w:pPr>
      <w:r>
        <w:rPr>
          <w:sz w:val="24"/>
          <w:szCs w:val="24"/>
          <w:lang w:val="id-ID"/>
        </w:rPr>
        <w:t xml:space="preserve"> </w:t>
      </w:r>
      <w:r w:rsidRPr="0028271D">
        <w:rPr>
          <w:sz w:val="24"/>
          <w:szCs w:val="24"/>
          <w:lang w:val="id-ID"/>
        </w:rPr>
        <w:t>permohonan peninjauan kembali.</w:t>
      </w:r>
    </w:p>
    <w:p w14:paraId="25704C2F" w14:textId="77777777" w:rsidR="00AC4900" w:rsidRDefault="00AC4900" w:rsidP="00AC4900">
      <w:pPr>
        <w:pStyle w:val="DaftarParagraf"/>
        <w:numPr>
          <w:ilvl w:val="0"/>
          <w:numId w:val="30"/>
        </w:numPr>
        <w:tabs>
          <w:tab w:val="left" w:pos="1418"/>
        </w:tabs>
        <w:spacing w:line="360" w:lineRule="auto"/>
        <w:ind w:left="1276" w:right="113"/>
        <w:contextualSpacing/>
        <w:outlineLvl w:val="1"/>
        <w:rPr>
          <w:sz w:val="24"/>
          <w:szCs w:val="24"/>
        </w:rPr>
      </w:pPr>
      <w:r>
        <w:rPr>
          <w:sz w:val="24"/>
          <w:szCs w:val="24"/>
        </w:rPr>
        <w:t xml:space="preserve"> </w:t>
      </w:r>
      <w:r w:rsidRPr="00A708BD">
        <w:rPr>
          <w:sz w:val="24"/>
          <w:szCs w:val="24"/>
        </w:rPr>
        <w:t>Menguji peraturan perundang-undangan yang di bawah undang-undang terhadap undang-undang.</w:t>
      </w:r>
    </w:p>
    <w:p w14:paraId="1EF668D9" w14:textId="1D00DADA" w:rsidR="00AC4900" w:rsidRPr="00AC4900" w:rsidRDefault="00AC4900" w:rsidP="00AC4900">
      <w:pPr>
        <w:pStyle w:val="DaftarParagraf"/>
        <w:tabs>
          <w:tab w:val="left" w:pos="1418"/>
        </w:tabs>
        <w:spacing w:line="360" w:lineRule="auto"/>
        <w:ind w:left="426" w:right="113" w:firstLine="0"/>
        <w:contextualSpacing/>
        <w:outlineLvl w:val="1"/>
        <w:rPr>
          <w:sz w:val="24"/>
          <w:szCs w:val="24"/>
        </w:rPr>
      </w:pPr>
      <w:r w:rsidRPr="00AC4900">
        <w:rPr>
          <w:sz w:val="24"/>
          <w:szCs w:val="24"/>
        </w:rPr>
        <w:t>kewenangan lainnya yang diberikan oleh undang-undang.Terdapat pengecualian dalam pengajuan permohonan kasasi, ada perkara-perkara tertentu yang tidak dapat diajukan permohonan kasasi, perkara tersebut adalah:</w:t>
      </w:r>
    </w:p>
    <w:p w14:paraId="4C7BF1FC" w14:textId="77777777" w:rsidR="004F0CF3" w:rsidRPr="004F0CF3" w:rsidRDefault="00AC4900" w:rsidP="004F0CF3">
      <w:pPr>
        <w:pStyle w:val="DaftarParagraf"/>
        <w:widowControl/>
        <w:numPr>
          <w:ilvl w:val="0"/>
          <w:numId w:val="31"/>
        </w:numPr>
        <w:autoSpaceDE/>
        <w:autoSpaceDN/>
        <w:spacing w:after="160" w:line="360" w:lineRule="auto"/>
        <w:ind w:left="284" w:right="0" w:firstLine="666"/>
        <w:contextualSpacing/>
        <w:rPr>
          <w:sz w:val="24"/>
          <w:szCs w:val="24"/>
          <w:lang w:val="id-ID"/>
        </w:rPr>
      </w:pPr>
      <w:r>
        <w:rPr>
          <w:sz w:val="24"/>
          <w:szCs w:val="24"/>
        </w:rPr>
        <w:t xml:space="preserve"> </w:t>
      </w:r>
      <w:r w:rsidRPr="00A708BD">
        <w:rPr>
          <w:sz w:val="24"/>
          <w:szCs w:val="24"/>
        </w:rPr>
        <w:t>Putusan praperadilan</w:t>
      </w:r>
    </w:p>
    <w:p w14:paraId="6B55EB1E" w14:textId="77777777" w:rsidR="004F0CF3" w:rsidRDefault="004F0CF3" w:rsidP="004F0CF3">
      <w:pPr>
        <w:pStyle w:val="DaftarParagraf"/>
        <w:widowControl/>
        <w:autoSpaceDE/>
        <w:autoSpaceDN/>
        <w:spacing w:after="160" w:line="360" w:lineRule="auto"/>
        <w:ind w:left="426" w:right="0" w:firstLine="0"/>
        <w:contextualSpacing/>
        <w:rPr>
          <w:sz w:val="24"/>
          <w:szCs w:val="24"/>
        </w:rPr>
      </w:pPr>
      <w:r w:rsidRPr="004F0CF3">
        <w:rPr>
          <w:sz w:val="24"/>
          <w:szCs w:val="24"/>
        </w:rPr>
        <w:t xml:space="preserve"> </w:t>
      </w:r>
      <w:r w:rsidRPr="004F0CF3">
        <w:rPr>
          <w:sz w:val="24"/>
          <w:szCs w:val="24"/>
        </w:rPr>
        <w:tab/>
      </w:r>
      <w:r w:rsidR="00AC4900" w:rsidRPr="004F0CF3">
        <w:rPr>
          <w:sz w:val="24"/>
          <w:szCs w:val="24"/>
          <w:lang w:val="id-ID"/>
        </w:rPr>
        <w:t>perkara pidana yang diancam</w:t>
      </w:r>
      <w:r w:rsidRPr="004F0CF3">
        <w:rPr>
          <w:sz w:val="24"/>
          <w:szCs w:val="24"/>
          <w:lang w:val="id-ID"/>
        </w:rPr>
        <w:t xml:space="preserve"> </w:t>
      </w:r>
      <w:r w:rsidR="00AC4900" w:rsidRPr="004F0CF3">
        <w:rPr>
          <w:sz w:val="24"/>
          <w:szCs w:val="24"/>
          <w:lang w:val="id-ID"/>
        </w:rPr>
        <w:t xml:space="preserve">dengan pidana penjara paling lama 1 (satu) tahun dan/atau diancam pidana denda.perkara tata usaha negara yang objek gugatannya berupa keputusan pejabat daerah yang jangkauan keputusannya berlaku di wilayah daerah yang bersangkutan. </w:t>
      </w:r>
      <w:r w:rsidR="00AC4900" w:rsidRPr="004F0CF3">
        <w:rPr>
          <w:sz w:val="24"/>
          <w:szCs w:val="24"/>
        </w:rPr>
        <w:t>Mahkamah Agung berwenang juga: melakukan pengawasan tertinggi terhadap penyelenggaraan peradilan di semua lingkungan peradilan yang berada di bawahnya dalam menjalankan kekuasaan kehakiman; melakukan pengawasan organisasi, administrasi badan peradilan yang ada di bawahnya; meminta keterangan tentang hal-hal yang berkaitan dengan teknis peradilan dari semua badan yang berada di bawahnya; memberi petunjuk, teguran, atau peringatan kepada pengadilan di semua badan yang berada di bawahnya; memberikan pertimbangan hukum kepada presiden dalam permohonan grasi dan rehabilitasi; dapat memberi keterangan, pertimbangan, dan nasihat masalah hukum kepada lembaga negara dan lembaga pemerintahan.Dalam melaksanakan kekuasaan kehakiman, Mahkamah Agung merupakan pengadilan tertinggi dari semua lingkungan peradilan. Segala urusan organisasi, administrasi, dan finansial Mahkamah Agung dan badan peradilan yang berada di bawahnya berada di bawah kekuasaan Mahkamah Agung</w:t>
      </w:r>
      <w:r>
        <w:rPr>
          <w:sz w:val="24"/>
          <w:szCs w:val="24"/>
        </w:rPr>
        <w:t>.</w:t>
      </w:r>
    </w:p>
    <w:p w14:paraId="3DBD6CB2" w14:textId="77777777" w:rsidR="004F0CF3" w:rsidRDefault="004F0CF3" w:rsidP="004F0CF3">
      <w:pPr>
        <w:pStyle w:val="DaftarParagraf"/>
        <w:widowControl/>
        <w:numPr>
          <w:ilvl w:val="0"/>
          <w:numId w:val="32"/>
        </w:numPr>
        <w:autoSpaceDE/>
        <w:autoSpaceDN/>
        <w:spacing w:after="160" w:line="360" w:lineRule="auto"/>
        <w:ind w:right="0"/>
        <w:contextualSpacing/>
        <w:rPr>
          <w:sz w:val="24"/>
          <w:szCs w:val="24"/>
          <w:lang w:val="id-ID"/>
        </w:rPr>
      </w:pPr>
      <w:r w:rsidRPr="004F0CF3">
        <w:rPr>
          <w:sz w:val="24"/>
          <w:szCs w:val="24"/>
          <w:lang w:val="id-ID"/>
        </w:rPr>
        <w:t>Mahkamah Konstitusi</w:t>
      </w:r>
    </w:p>
    <w:p w14:paraId="3310E1A8" w14:textId="77777777" w:rsidR="004F0CF3" w:rsidRDefault="004F0CF3" w:rsidP="004F0CF3">
      <w:pPr>
        <w:pStyle w:val="DaftarParagraf"/>
        <w:widowControl/>
        <w:autoSpaceDE/>
        <w:autoSpaceDN/>
        <w:spacing w:after="160" w:line="360" w:lineRule="auto"/>
        <w:ind w:left="426" w:right="0" w:firstLine="11"/>
        <w:contextualSpacing/>
        <w:rPr>
          <w:sz w:val="24"/>
          <w:szCs w:val="24"/>
        </w:rPr>
      </w:pPr>
      <w:r>
        <w:rPr>
          <w:sz w:val="24"/>
          <w:szCs w:val="24"/>
          <w:lang w:val="id-ID"/>
        </w:rPr>
        <w:t xml:space="preserve">      </w:t>
      </w:r>
      <w:r w:rsidRPr="004F0CF3">
        <w:rPr>
          <w:sz w:val="24"/>
          <w:szCs w:val="24"/>
        </w:rPr>
        <w:t>Mahkamah Konstitusi merupakan salah satu lembaga negara yang lahir setelah Perubahan UUD 1945.</w:t>
      </w:r>
      <w:r w:rsidRPr="00A708BD">
        <w:rPr>
          <w:rStyle w:val="ReferensiCatatanKaki"/>
          <w:sz w:val="24"/>
          <w:szCs w:val="24"/>
        </w:rPr>
        <w:footnoteReference w:id="13"/>
      </w:r>
      <w:r w:rsidRPr="004F0CF3">
        <w:rPr>
          <w:sz w:val="24"/>
          <w:szCs w:val="24"/>
        </w:rPr>
        <w:t xml:space="preserve"> sebagai salah satu pelaku kekuasaan kehakiman di Indonesia. Wacana pembentukan Mahkamah Konstitusi sebenarnya sudah ada pada saat pembahasan Undang-Undang Dasar di Badan Penyelidik Usaha-usaha Persiapan Kemerdekaan Indonesia (BPUPKI). Prof Moh. Yamin sebagai salah satu anggota BPUPKI telah mengemukakan pendapat bahwa Mahkamah Agung (dahulu disebut Balai Agung) perlu diberi kewenangan untuk “membanding” Undang-Undang, namun ide ini ditolak anggota lain yaitu Prof. R. Soepomo berdasarkan dua alasan, yaitu Undang-Undang Dasar yang disusun pada waktu itu tidak menganut Trias Politica dan pada saat itu jumlah sarjana hukum belum banyak dan belum memiliki pengalaman.</w:t>
      </w:r>
      <w:r w:rsidRPr="00A708BD">
        <w:rPr>
          <w:rStyle w:val="ReferensiCatatanKaki"/>
          <w:sz w:val="24"/>
          <w:szCs w:val="24"/>
        </w:rPr>
        <w:footnoteReference w:id="14"/>
      </w:r>
      <w:r w:rsidRPr="004F0CF3">
        <w:rPr>
          <w:sz w:val="24"/>
          <w:szCs w:val="24"/>
        </w:rPr>
        <w:t xml:space="preserve"> mengenai hal itu pada saat pembahasan Perubahan UUD 1945 muncul lagi pendapat pentingnya Mahkamah Konstitusi karena adanya perubahan mendasar dengan beralihnya supremasi Majelis Permusyawaratan Rakyat kepada supremasi hukum maka perlu disediakan sebuah mekanisme institusional dan konstitusional serta hadirnya lembaga negara yang mengatasi kemungkinan sengketa antarlembaga negara yang mempunyai derajat yang sama serta saling mengimbangi dan saling mengendalikan </w:t>
      </w:r>
      <w:r w:rsidRPr="004F0CF3">
        <w:rPr>
          <w:i/>
          <w:iCs/>
          <w:sz w:val="24"/>
          <w:szCs w:val="24"/>
        </w:rPr>
        <w:t>(checks and balances</w:t>
      </w:r>
      <w:r w:rsidRPr="004F0CF3">
        <w:rPr>
          <w:sz w:val="24"/>
          <w:szCs w:val="24"/>
        </w:rPr>
        <w:t xml:space="preserve">). Seiring dengan itu muncul desakan agar tradisi pengujian peraturan perundang-undangan perlu ditingkatkan tidak hanya sebatas pada peraturan di bawah Undang-Undang melainkan juga atas Undang-Undang terhadap Undang-Undang Dasar. </w:t>
      </w:r>
    </w:p>
    <w:p w14:paraId="465CAB65" w14:textId="77777777" w:rsidR="004F0CF3" w:rsidRDefault="004F0CF3" w:rsidP="004F0CF3">
      <w:pPr>
        <w:pStyle w:val="DaftarParagraf"/>
        <w:widowControl/>
        <w:autoSpaceDE/>
        <w:autoSpaceDN/>
        <w:spacing w:after="160" w:line="360" w:lineRule="auto"/>
        <w:ind w:left="426" w:right="0" w:firstLine="11"/>
        <w:contextualSpacing/>
        <w:rPr>
          <w:sz w:val="24"/>
          <w:szCs w:val="24"/>
        </w:rPr>
      </w:pPr>
      <w:r>
        <w:rPr>
          <w:sz w:val="24"/>
          <w:szCs w:val="24"/>
        </w:rPr>
        <w:t xml:space="preserve">      </w:t>
      </w:r>
      <w:r w:rsidRPr="004F0CF3">
        <w:rPr>
          <w:sz w:val="24"/>
          <w:szCs w:val="24"/>
        </w:rPr>
        <w:t xml:space="preserve">Kemudian kewenangan pengujian Undang-Undang terhadap Undang-Undang Dasar diberikan kepada sebuah mahkamah tersendiri di luar Mahkamah Agung.Ide pembentukan Mahkamah Konstitusi mendapat respon positif dan menjadi salah satu materi perubahan Undang-Undang Dasar. akhirnya pembentukan Mahkamah Konstitusi menjadi kenyataan dengan disahkannya Pasal 24 ayat (2), Pasal 24C dan Pasal III Aturan Peralihan UUD 1945 yang pada pokoknya menyatakan, pelaksana kekuasaan kehakiman dilakukan oleh sebuah Mahkamah Agung dan badan peradilan yang berada di bawahnya dalam lingkungan peradilan umum, lingkungan peradilan agama, lingkungan peradilan militer, lingkungan peradilan tata usaha negara, dan oleh sebuah Mahkamah Konstitusi. </w:t>
      </w:r>
    </w:p>
    <w:p w14:paraId="67052A97" w14:textId="07666C8B" w:rsidR="004F0CF3" w:rsidRDefault="004F0CF3" w:rsidP="004F0CF3">
      <w:pPr>
        <w:pStyle w:val="DaftarParagraf"/>
        <w:widowControl/>
        <w:autoSpaceDE/>
        <w:autoSpaceDN/>
        <w:spacing w:after="160" w:line="360" w:lineRule="auto"/>
        <w:ind w:left="426" w:right="0" w:firstLine="294"/>
        <w:contextualSpacing/>
        <w:rPr>
          <w:sz w:val="24"/>
          <w:szCs w:val="24"/>
          <w:lang w:val="id-ID"/>
        </w:rPr>
      </w:pPr>
      <w:r>
        <w:rPr>
          <w:sz w:val="24"/>
          <w:szCs w:val="24"/>
        </w:rPr>
        <w:t xml:space="preserve">   </w:t>
      </w:r>
      <w:r w:rsidRPr="004F0CF3">
        <w:rPr>
          <w:sz w:val="24"/>
          <w:szCs w:val="24"/>
        </w:rPr>
        <w:t>Kemudian kewenangan Mahkamah Konstitusi dinyatakan dalam Pasal 24C ayat (1) dan ayat (2) UUD 1945, yaitu: Mahkamah Konstitusi berwenang mengadili pada tingkat pertama dan terakhir yang putusannya bersifat final untuk menguji undang-undang terhadap Undang-Undang Dasar, memutus sengketa kewenangan lembaga negara yang kewenangannya diberikan oleh Undang-Undang Dasar, memutus pembubaran partai politik, dan memutus perselisihan tentang hasil pemilihan umum.</w:t>
      </w:r>
      <w:r w:rsidRPr="00A708BD">
        <w:rPr>
          <w:rStyle w:val="ReferensiCatatanKaki"/>
          <w:sz w:val="24"/>
          <w:szCs w:val="24"/>
        </w:rPr>
        <w:footnoteReference w:id="15"/>
      </w:r>
      <w:r>
        <w:rPr>
          <w:sz w:val="24"/>
          <w:szCs w:val="24"/>
        </w:rPr>
        <w:t xml:space="preserve"> </w:t>
      </w:r>
      <w:r w:rsidRPr="004F0CF3">
        <w:rPr>
          <w:sz w:val="24"/>
          <w:szCs w:val="24"/>
          <w:lang w:val="id-ID"/>
        </w:rPr>
        <w:t>Mahkamah Konstitusi wajib memberikan putusan atas pendapat Dewan Perwakilan Rakyat mengenai dugaan pelanggaran Presiden dan/atau Wakil Presiden menurut Undang-Undang Dasar.</w:t>
      </w:r>
    </w:p>
    <w:p w14:paraId="653C171B" w14:textId="77777777" w:rsidR="004F0CF3" w:rsidRPr="00A708BD" w:rsidRDefault="004F0CF3" w:rsidP="00E02A9D">
      <w:pPr>
        <w:pStyle w:val="DaftarParagraf"/>
        <w:widowControl/>
        <w:numPr>
          <w:ilvl w:val="0"/>
          <w:numId w:val="32"/>
        </w:numPr>
        <w:tabs>
          <w:tab w:val="left" w:pos="1560"/>
        </w:tabs>
        <w:autoSpaceDE/>
        <w:autoSpaceDN/>
        <w:spacing w:after="160" w:line="360" w:lineRule="auto"/>
        <w:ind w:left="426" w:right="113"/>
        <w:contextualSpacing/>
        <w:outlineLvl w:val="1"/>
        <w:rPr>
          <w:sz w:val="24"/>
          <w:szCs w:val="24"/>
          <w:lang w:val="id-ID"/>
        </w:rPr>
      </w:pPr>
      <w:r w:rsidRPr="00A708BD">
        <w:rPr>
          <w:sz w:val="24"/>
          <w:szCs w:val="24"/>
          <w:lang w:val="id-ID"/>
        </w:rPr>
        <w:t>Komisi Yudisial</w:t>
      </w:r>
    </w:p>
    <w:p w14:paraId="60623079" w14:textId="77777777" w:rsidR="00E02A9D" w:rsidRDefault="004F0CF3" w:rsidP="00E02A9D">
      <w:pPr>
        <w:pStyle w:val="DaftarParagraf"/>
        <w:tabs>
          <w:tab w:val="left" w:pos="1560"/>
        </w:tabs>
        <w:spacing w:line="360" w:lineRule="auto"/>
        <w:ind w:left="426" w:right="113"/>
        <w:outlineLvl w:val="1"/>
        <w:rPr>
          <w:sz w:val="24"/>
          <w:szCs w:val="24"/>
          <w:lang w:val="id-ID"/>
        </w:rPr>
      </w:pPr>
      <w:r w:rsidRPr="00A708BD">
        <w:rPr>
          <w:sz w:val="24"/>
          <w:szCs w:val="24"/>
          <w:lang w:val="id-ID"/>
        </w:rPr>
        <w:tab/>
      </w:r>
      <w:r w:rsidR="00E02A9D">
        <w:rPr>
          <w:sz w:val="24"/>
          <w:szCs w:val="24"/>
          <w:lang w:val="id-ID"/>
        </w:rPr>
        <w:t xml:space="preserve">      </w:t>
      </w:r>
      <w:r w:rsidRPr="00A708BD">
        <w:rPr>
          <w:sz w:val="24"/>
          <w:szCs w:val="24"/>
          <w:lang w:val="id-ID"/>
        </w:rPr>
        <w:t>Sebagaimana telah diuraikan di atas bahwa salah satu wujud agenda reformasi tahun 1998 adalah UUD 1945 telah mengalami beberapa kali perubahan yaitu pada tahun 1999, 2000, 2001, dan 2002. Perubahan dari UUD 1945 tersebut adalah adanya perubahan serta penambahan lembaga-lembaga negara, salah satunya adalah Komisi Yudisial. Dalam Pasal 24B hasil Perubahan Ketiga UUD 1945, ditegaskan adanya ide pembentukan Komisi Yudisial sebagai lembaga konstitusional baru yang sederajat kedudukannya dengan lembaga konstitusional lainnya.</w:t>
      </w:r>
    </w:p>
    <w:p w14:paraId="0251AF58" w14:textId="77777777" w:rsidR="00E02A9D" w:rsidRDefault="00E02A9D" w:rsidP="00E02A9D">
      <w:pPr>
        <w:pStyle w:val="DaftarParagraf"/>
        <w:tabs>
          <w:tab w:val="left" w:pos="1560"/>
        </w:tabs>
        <w:spacing w:line="360" w:lineRule="auto"/>
        <w:ind w:left="426" w:right="113"/>
        <w:outlineLvl w:val="1"/>
        <w:rPr>
          <w:sz w:val="24"/>
          <w:szCs w:val="24"/>
          <w:lang w:val="sv-SE"/>
        </w:rPr>
      </w:pPr>
      <w:r>
        <w:rPr>
          <w:sz w:val="24"/>
          <w:szCs w:val="24"/>
          <w:lang w:val="id-ID"/>
        </w:rPr>
        <w:t xml:space="preserve">             </w:t>
      </w:r>
      <w:r w:rsidR="004F0CF3" w:rsidRPr="00A708BD">
        <w:rPr>
          <w:sz w:val="24"/>
          <w:szCs w:val="24"/>
          <w:lang w:val="id-ID"/>
        </w:rPr>
        <w:t xml:space="preserve"> </w:t>
      </w:r>
      <w:r w:rsidR="004F0CF3" w:rsidRPr="00A708BD">
        <w:rPr>
          <w:sz w:val="24"/>
          <w:szCs w:val="24"/>
          <w:lang w:val="sv-SE"/>
        </w:rPr>
        <w:t xml:space="preserve">Komisi Yudisial dibentuk dengan harapan untuk menegakkan kehormatan dan perilaku para hakim. Dalam hal ini Komisi Yudisial berfungsi sebagai pengawas. Posisi Komisi Yudisial sangatlah strategis atau fundamental. Komisi Yudisial menjadi institusi yang diberi peran mengawasi kinerja hakim. Berkaitan dengan fungsi Komisi Yudisial, maka perlu melakukan langkah-langkah pembaharuan yang berorientasi kepada terciptanya lembaga peradilan yang sungguh-sungguh bersih dan berwibawa guna menjamin masyarakat dan para pencari keadilan memperoleh keadilan dan diperlakukan secara adil sesuai dengan peraturan perundang-undangan yang berlaku. </w:t>
      </w:r>
    </w:p>
    <w:p w14:paraId="769DF201" w14:textId="77777777" w:rsidR="00E02A9D" w:rsidRDefault="00E02A9D" w:rsidP="00E02A9D">
      <w:pPr>
        <w:pStyle w:val="DaftarParagraf"/>
        <w:tabs>
          <w:tab w:val="left" w:pos="1560"/>
        </w:tabs>
        <w:spacing w:line="360" w:lineRule="auto"/>
        <w:ind w:left="426" w:right="113"/>
        <w:outlineLvl w:val="1"/>
        <w:rPr>
          <w:sz w:val="24"/>
          <w:szCs w:val="24"/>
          <w:lang w:val="sv-SE"/>
        </w:rPr>
      </w:pPr>
      <w:r>
        <w:rPr>
          <w:sz w:val="24"/>
          <w:szCs w:val="24"/>
          <w:lang w:val="sv-SE"/>
        </w:rPr>
        <w:t xml:space="preserve">               </w:t>
      </w:r>
      <w:r w:rsidR="004F0CF3" w:rsidRPr="00A708BD">
        <w:rPr>
          <w:sz w:val="24"/>
          <w:szCs w:val="24"/>
          <w:lang w:val="sv-SE"/>
        </w:rPr>
        <w:t>Kewenangan Komisi Yudisial dalam seleksi hakim agung telah diatur di dalam Pasal 24B UUD 1945 dan Pasal 1 ayat (1) Undang-Undang Nomor 22 Tahun 2004 tentang Komisi Yudisial.</w:t>
      </w:r>
      <w:r w:rsidR="004F0CF3" w:rsidRPr="00A708BD">
        <w:rPr>
          <w:rStyle w:val="ReferensiCatatanKaki"/>
          <w:sz w:val="24"/>
          <w:szCs w:val="24"/>
        </w:rPr>
        <w:footnoteReference w:id="16"/>
      </w:r>
      <w:r w:rsidR="004F0CF3" w:rsidRPr="00A708BD">
        <w:rPr>
          <w:sz w:val="24"/>
          <w:szCs w:val="24"/>
          <w:lang w:val="sv-SE"/>
        </w:rPr>
        <w:t xml:space="preserve"> Hanya saja, seleksi yang dimaksud adalah seleksi untuk mengusulkan calon hakim agung, bukan untuk melakukan seleksi tentang layak atau tidaknya seseorang yang telah menjadi hakim agung. Komisi Yudisial merupakan lembaga yang mandiri. Sejalan dengan itu, Komisi Yudisial memang mempunyai peranan penting dalam upaya mewujudkan kekuasaan kehakiman yang merdeka melalui pencalonan hakim agung serta pengawasan terhadap hakim yang transparan dan partisipatif guna menegakkan kehormatan dan keluhuran martabat, serta perilaku hakim. Pengawasan oleh Komisi Yudisial ini pada prinsipnya bertujuan agar hakim agung dan hakim dalam menjalankan wewenang dan tugasnya sungguh-sungguh didasarkan dan sesuai dengan peraturan perundangan-undangan yang berlaku, kebenaran, dan rasa keadilan masyarakat serta menjunjung tinggi kode etik profesi hakim. Bersamaan dengan Perubahan UUD 1945 sebagai genealogis kemunculan Komisi Yudisial yang merupakan lembaga negara yang dilahirkan dari reformasi di Indonesia, Komisi Yudisial merupakan lembaga negara yang sama posisinya dengan lembaga negara lain. Sebagai lembaga negara, Komisi Yudisial mendapatkan tugas dan kewenangannya dalam UUD 1945 dan dituangkan lebih lanjut dalam Undang-Undang Nomor 22 Tahun 2004 tentang Komisi Yudisial.</w:t>
      </w:r>
    </w:p>
    <w:p w14:paraId="4D4F563A" w14:textId="3A176281" w:rsidR="004F0CF3" w:rsidRPr="003776A7" w:rsidRDefault="00E02A9D" w:rsidP="00E02A9D">
      <w:pPr>
        <w:pStyle w:val="DaftarParagraf"/>
        <w:tabs>
          <w:tab w:val="left" w:pos="1560"/>
        </w:tabs>
        <w:spacing w:line="360" w:lineRule="auto"/>
        <w:ind w:left="426" w:right="113"/>
        <w:outlineLvl w:val="1"/>
        <w:rPr>
          <w:sz w:val="24"/>
          <w:szCs w:val="24"/>
          <w:lang w:val="sv-SE" w:eastAsia="id-ID"/>
        </w:rPr>
      </w:pPr>
      <w:r>
        <w:rPr>
          <w:sz w:val="24"/>
          <w:szCs w:val="24"/>
          <w:lang w:val="sv-SE"/>
        </w:rPr>
        <w:t xml:space="preserve">              </w:t>
      </w:r>
      <w:r w:rsidR="004F0CF3" w:rsidRPr="00A708BD">
        <w:rPr>
          <w:sz w:val="24"/>
          <w:szCs w:val="24"/>
          <w:lang w:val="sv-SE"/>
        </w:rPr>
        <w:t>Latar belakang pembentukan Komisi Yudisial merupakan bagian penting dari komitmen bangsa untuk dilakukannya reformasi multi dimensional dalam kehidupan sosial, ekonomi, politik, budaya dan hukum, serta, keprihatinan yang mendalam atas praktik peradilan yang tidak mencerminkan moralitas keadilan. Agenda besar reformasi yang bergulir di tahun 1999, bertujuan untuk membangun Indonesia yang lebih kuat adil dan sejahtera. Tugas dan wewenang Komisi Yudisial di beberapa negara pada intinya yaitu mengusulkan atau merekomendasikan calon hakim agung dan melakukan pengawasan terhadap para hakim. Tujuan utama dibentuknya Komisi Yudisial adalah Komisi Yudisial dibentuk agar dapat melakukan monitoring yang intensif terhadap kekuasaan kehakiman dengan melibatkan unsur-unsur masyarakat dalam spektrum yang seluas-luasnya dan bukan hanya monitoring secara internal, Komisi Yudisial menjadi perantara (mediator) atau penghubung antara kekuasaan pemerintah (</w:t>
      </w:r>
      <w:r w:rsidR="004F0CF3" w:rsidRPr="00A708BD">
        <w:rPr>
          <w:i/>
          <w:iCs/>
          <w:sz w:val="24"/>
          <w:szCs w:val="24"/>
          <w:lang w:val="sv-SE"/>
        </w:rPr>
        <w:t>executive power</w:t>
      </w:r>
      <w:r w:rsidR="004F0CF3" w:rsidRPr="00A708BD">
        <w:rPr>
          <w:sz w:val="24"/>
          <w:szCs w:val="24"/>
          <w:lang w:val="sv-SE"/>
        </w:rPr>
        <w:t>) dan kekuasaan kehakiman (</w:t>
      </w:r>
      <w:r w:rsidR="004F0CF3" w:rsidRPr="00A708BD">
        <w:rPr>
          <w:i/>
          <w:iCs/>
          <w:sz w:val="24"/>
          <w:szCs w:val="24"/>
          <w:lang w:val="sv-SE"/>
        </w:rPr>
        <w:t>judicial power</w:t>
      </w:r>
      <w:r w:rsidR="004F0CF3" w:rsidRPr="00A708BD">
        <w:rPr>
          <w:sz w:val="24"/>
          <w:szCs w:val="24"/>
          <w:lang w:val="sv-SE"/>
        </w:rPr>
        <w:t>) yang tujuan utamanya adalah untuk menjamin kemandirian kekuasaan kehakiman dari pengaruh kekuasaan apapun juga khususnya kekuasaan pemerintah,</w:t>
      </w:r>
      <w:r>
        <w:rPr>
          <w:sz w:val="24"/>
          <w:szCs w:val="24"/>
          <w:lang w:val="sv-SE"/>
        </w:rPr>
        <w:t>d</w:t>
      </w:r>
      <w:r w:rsidR="004F0CF3" w:rsidRPr="00A708BD">
        <w:rPr>
          <w:sz w:val="24"/>
          <w:szCs w:val="24"/>
          <w:lang w:val="sv-SE"/>
        </w:rPr>
        <w:t>engan adanya Komisi Yudisial, tingkat efisiensi dan efektivitas kekuasaan kehakiman akan semakin tinggi dalam banyak hal, baik yang menyangkut rekrutmen dan monitoring hakim agung maupun pengelolaan keuangan kekuasaan kehakiman,</w:t>
      </w:r>
      <w:r>
        <w:rPr>
          <w:sz w:val="24"/>
          <w:szCs w:val="24"/>
          <w:lang w:val="sv-SE"/>
        </w:rPr>
        <w:t xml:space="preserve"> </w:t>
      </w:r>
      <w:r w:rsidR="004F0CF3" w:rsidRPr="00A708BD">
        <w:rPr>
          <w:sz w:val="24"/>
          <w:szCs w:val="24"/>
          <w:lang w:val="sv-SE"/>
        </w:rPr>
        <w:t xml:space="preserve">Terjaganya konsistensi putusan lembaga peradilan, karena setiap putusan memperoleh penilaian dan pengawasan yang ketat dari sebuah lembaga khusus, yaitu Komisi Yudisial, dan (5) Dengan adanya Komisi Yudisial, kemandirian kekuasaan kehakiman </w:t>
      </w:r>
      <w:r w:rsidR="004F0CF3" w:rsidRPr="00E02A9D">
        <w:rPr>
          <w:i/>
          <w:iCs/>
          <w:sz w:val="24"/>
          <w:szCs w:val="24"/>
          <w:lang w:val="sv-SE"/>
        </w:rPr>
        <w:t>(judicial power</w:t>
      </w:r>
      <w:r w:rsidR="004F0CF3" w:rsidRPr="00A708BD">
        <w:rPr>
          <w:sz w:val="24"/>
          <w:szCs w:val="24"/>
          <w:lang w:val="sv-SE"/>
        </w:rPr>
        <w:t>) dapat terus terjaga, karena politisasi terhadap perekrutan hakim agung dapat diminimalisasi dengan adanya Komisi Yudisial yang bukan merupakan lembaga politik, sehingga diasumsikan tidak mempunyai kepentingan politik.Komisi Yudisial diberikan kewenangan oleh UUD 1945 dalam Pasal 24 B, yaitu:(1) Komisi Yudisial bersifat mandiri yang berwenang mengusulkan pengangkatan hakim agung dan mempunyai wewenang lain dalam rangka menjaga dan menegakkan kehormatan, keluhuran martabat, serta perilaku hakim</w:t>
      </w:r>
      <w:r w:rsidR="004F0CF3" w:rsidRPr="00A708BD">
        <w:rPr>
          <w:sz w:val="24"/>
          <w:szCs w:val="24"/>
          <w:lang w:val="sv-SE" w:eastAsia="id-ID"/>
        </w:rPr>
        <w:t xml:space="preserve"> </w:t>
      </w:r>
    </w:p>
    <w:bookmarkEnd w:id="1"/>
    <w:p w14:paraId="06B8BE18" w14:textId="77777777" w:rsidR="0076115E" w:rsidRDefault="00537A16" w:rsidP="00E02A9D">
      <w:pPr>
        <w:pStyle w:val="TeksIsi"/>
        <w:spacing w:before="136" w:line="360" w:lineRule="auto"/>
        <w:ind w:left="142" w:right="39" w:hanging="142"/>
        <w:rPr>
          <w:b/>
          <w:bCs/>
        </w:rPr>
      </w:pPr>
      <w:r>
        <w:rPr>
          <w:b/>
          <w:bCs/>
        </w:rPr>
        <w:t>Metodologi</w:t>
      </w:r>
    </w:p>
    <w:p w14:paraId="7C942140" w14:textId="2CF8AB27" w:rsidR="001702CF" w:rsidRDefault="001702CF" w:rsidP="00E02A9D">
      <w:pPr>
        <w:pStyle w:val="TeksIsi"/>
        <w:spacing w:before="136" w:line="360" w:lineRule="auto"/>
        <w:ind w:left="142" w:right="39" w:firstLine="567"/>
      </w:pPr>
      <w:r w:rsidRPr="001702CF">
        <w:t xml:space="preserve">Penelitian ini menggunakan metode penenlitihan normatif sebagai metode utamanya. </w:t>
      </w:r>
      <w:r w:rsidR="00E02A9D" w:rsidRPr="00A708BD">
        <w:rPr>
          <w:lang w:val="id-ID"/>
        </w:rPr>
        <w:t xml:space="preserve">Penelitian  kajian normatif ini berfokus terhadap norma,kaidah, dan aturan hukum yang berlaku,termasuk peraturan perundang-undangan,serta doktrin hukum terkait </w:t>
      </w:r>
      <w:r w:rsidR="00E02A9D" w:rsidRPr="00E02A9D">
        <w:rPr>
          <w:i/>
          <w:iCs/>
          <w:lang w:val="id-ID"/>
        </w:rPr>
        <w:t>amicus curiae</w:t>
      </w:r>
      <w:r w:rsidR="00E02A9D" w:rsidRPr="00A708BD">
        <w:rPr>
          <w:lang w:val="id-ID"/>
        </w:rPr>
        <w:t xml:space="preserve"> dalam sistem peradilan di indonesia, sehingga dapat dianalis konsep dan kedudukan </w:t>
      </w:r>
      <w:r w:rsidR="00E02A9D" w:rsidRPr="00E02A9D">
        <w:rPr>
          <w:i/>
          <w:iCs/>
          <w:lang w:val="id-ID"/>
        </w:rPr>
        <w:t>amicus curiae</w:t>
      </w:r>
      <w:r w:rsidR="00E02A9D" w:rsidRPr="00A708BD">
        <w:rPr>
          <w:lang w:val="id-ID"/>
        </w:rPr>
        <w:t xml:space="preserve"> dalam sistem peradilan di indonesia</w:t>
      </w:r>
      <w:r w:rsidR="00E02A9D">
        <w:rPr>
          <w:lang w:val="id-ID"/>
        </w:rPr>
        <w:t>.</w:t>
      </w:r>
    </w:p>
    <w:p w14:paraId="208D908B" w14:textId="77777777" w:rsidR="001702CF" w:rsidRDefault="00537A16" w:rsidP="001702CF">
      <w:pPr>
        <w:pStyle w:val="Judul1"/>
        <w:spacing w:before="82"/>
        <w:ind w:left="142"/>
        <w:jc w:val="left"/>
      </w:pPr>
      <w:r>
        <w:t>Pembahasan</w:t>
      </w:r>
      <w:bookmarkStart w:id="3" w:name="_Toc199867500"/>
    </w:p>
    <w:bookmarkEnd w:id="3"/>
    <w:p w14:paraId="7C0D6381" w14:textId="51EE54BD" w:rsidR="00860147" w:rsidRDefault="00E02A9D" w:rsidP="00860147">
      <w:pPr>
        <w:pStyle w:val="Judul1"/>
        <w:numPr>
          <w:ilvl w:val="0"/>
          <w:numId w:val="11"/>
        </w:numPr>
        <w:spacing w:before="82" w:line="360" w:lineRule="auto"/>
        <w:rPr>
          <w:i/>
          <w:iCs/>
        </w:rPr>
      </w:pPr>
      <w:r>
        <w:t xml:space="preserve">Sejarah dan perkembangan </w:t>
      </w:r>
      <w:r w:rsidRPr="00E02A9D">
        <w:rPr>
          <w:i/>
          <w:iCs/>
        </w:rPr>
        <w:t>amicus curiae</w:t>
      </w:r>
    </w:p>
    <w:p w14:paraId="1566B06F" w14:textId="77777777" w:rsidR="00860147" w:rsidRPr="00860147" w:rsidRDefault="00860147" w:rsidP="00860147">
      <w:pPr>
        <w:pStyle w:val="DaftarParagraf"/>
        <w:widowControl/>
        <w:numPr>
          <w:ilvl w:val="3"/>
          <w:numId w:val="35"/>
        </w:numPr>
        <w:autoSpaceDE/>
        <w:spacing w:after="160" w:line="480" w:lineRule="auto"/>
        <w:ind w:left="709" w:right="0"/>
        <w:contextualSpacing/>
        <w:rPr>
          <w:b/>
          <w:bCs/>
          <w:sz w:val="24"/>
          <w:szCs w:val="24"/>
        </w:rPr>
      </w:pPr>
      <w:r>
        <w:t xml:space="preserve"> </w:t>
      </w:r>
      <w:r w:rsidRPr="00720FEA">
        <w:rPr>
          <w:b/>
          <w:bCs/>
          <w:sz w:val="24"/>
          <w:szCs w:val="24"/>
          <w:lang w:val="id-ID"/>
        </w:rPr>
        <w:t xml:space="preserve">Sejarah </w:t>
      </w:r>
      <w:r w:rsidRPr="00720FEA">
        <w:rPr>
          <w:b/>
          <w:bCs/>
          <w:i/>
          <w:iCs/>
          <w:sz w:val="24"/>
          <w:szCs w:val="24"/>
          <w:lang w:val="id-ID"/>
        </w:rPr>
        <w:t>Amicus Curiae</w:t>
      </w:r>
    </w:p>
    <w:p w14:paraId="3C078665" w14:textId="77777777" w:rsidR="00860147" w:rsidRDefault="00860147" w:rsidP="00860147">
      <w:pPr>
        <w:pStyle w:val="DaftarParagraf"/>
        <w:widowControl/>
        <w:autoSpaceDE/>
        <w:spacing w:after="160" w:line="360" w:lineRule="auto"/>
        <w:ind w:left="720" w:right="0" w:firstLine="720"/>
        <w:contextualSpacing/>
        <w:rPr>
          <w:sz w:val="24"/>
          <w:szCs w:val="24"/>
          <w:lang w:val="id-ID"/>
        </w:rPr>
      </w:pPr>
      <w:r w:rsidRPr="00860147">
        <w:rPr>
          <w:i/>
          <w:iCs/>
          <w:sz w:val="24"/>
          <w:szCs w:val="24"/>
          <w:lang w:val="id-ID"/>
        </w:rPr>
        <w:t>Amicus curiae</w:t>
      </w:r>
      <w:r w:rsidRPr="00860147">
        <w:rPr>
          <w:sz w:val="24"/>
          <w:szCs w:val="24"/>
          <w:lang w:val="id-ID"/>
        </w:rPr>
        <w:t xml:space="preserve"> yang merupakan bentuk jamak dari </w:t>
      </w:r>
      <w:r w:rsidRPr="00860147">
        <w:rPr>
          <w:i/>
          <w:iCs/>
          <w:sz w:val="24"/>
          <w:szCs w:val="24"/>
          <w:lang w:val="id-ID"/>
        </w:rPr>
        <w:t>amici</w:t>
      </w:r>
      <w:r w:rsidRPr="00860147">
        <w:rPr>
          <w:sz w:val="24"/>
          <w:szCs w:val="24"/>
          <w:lang w:val="id-ID"/>
        </w:rPr>
        <w:t xml:space="preserve"> curiae dalam literatur barat dikenal sebagai </w:t>
      </w:r>
      <w:r w:rsidRPr="00860147">
        <w:rPr>
          <w:i/>
          <w:iCs/>
          <w:sz w:val="24"/>
          <w:szCs w:val="24"/>
          <w:lang w:val="id-ID"/>
        </w:rPr>
        <w:t>friend of the court</w:t>
      </w:r>
      <w:r w:rsidRPr="00860147">
        <w:rPr>
          <w:sz w:val="24"/>
          <w:szCs w:val="24"/>
          <w:lang w:val="id-ID"/>
        </w:rPr>
        <w:t xml:space="preserve"> yang penggunaannya sudah umum diterjemahkan ke dalam bahasa Indonesia sebagai sahabat pengadilan. Menurut </w:t>
      </w:r>
      <w:r w:rsidRPr="00860147">
        <w:rPr>
          <w:i/>
          <w:iCs/>
          <w:sz w:val="24"/>
          <w:szCs w:val="24"/>
          <w:lang w:val="id-ID"/>
        </w:rPr>
        <w:t>Online Etymology Dictionary</w:t>
      </w:r>
      <w:r w:rsidRPr="00860147">
        <w:rPr>
          <w:sz w:val="24"/>
          <w:szCs w:val="24"/>
          <w:lang w:val="id-ID"/>
        </w:rPr>
        <w:t xml:space="preserve">, amicus curiae berasal dari bahasa Latin, </w:t>
      </w:r>
      <w:r w:rsidRPr="00860147">
        <w:rPr>
          <w:i/>
          <w:iCs/>
          <w:sz w:val="24"/>
          <w:szCs w:val="24"/>
          <w:lang w:val="id-ID"/>
        </w:rPr>
        <w:t>amicus</w:t>
      </w:r>
      <w:r w:rsidRPr="00860147">
        <w:rPr>
          <w:sz w:val="24"/>
          <w:szCs w:val="24"/>
          <w:lang w:val="id-ID"/>
        </w:rPr>
        <w:t xml:space="preserve"> yang berarti sahabat (</w:t>
      </w:r>
      <w:r w:rsidRPr="00860147">
        <w:rPr>
          <w:i/>
          <w:iCs/>
          <w:sz w:val="24"/>
          <w:szCs w:val="24"/>
          <w:lang w:val="id-ID"/>
        </w:rPr>
        <w:t>friend)</w:t>
      </w:r>
      <w:r w:rsidRPr="00860147">
        <w:rPr>
          <w:sz w:val="24"/>
          <w:szCs w:val="24"/>
          <w:lang w:val="id-ID"/>
        </w:rPr>
        <w:t xml:space="preserve"> yang erat kaitannya dengan </w:t>
      </w:r>
      <w:r w:rsidRPr="00860147">
        <w:rPr>
          <w:i/>
          <w:iCs/>
          <w:sz w:val="24"/>
          <w:szCs w:val="24"/>
          <w:lang w:val="id-ID"/>
        </w:rPr>
        <w:t>to amare "to love</w:t>
      </w:r>
      <w:r w:rsidRPr="00860147">
        <w:rPr>
          <w:sz w:val="24"/>
          <w:szCs w:val="24"/>
          <w:lang w:val="id-ID"/>
        </w:rPr>
        <w:t xml:space="preserve">", dan </w:t>
      </w:r>
      <w:r w:rsidRPr="00860147">
        <w:rPr>
          <w:i/>
          <w:iCs/>
          <w:sz w:val="24"/>
          <w:szCs w:val="24"/>
          <w:lang w:val="id-ID"/>
        </w:rPr>
        <w:t>curia</w:t>
      </w:r>
      <w:r w:rsidRPr="00860147">
        <w:rPr>
          <w:sz w:val="24"/>
          <w:szCs w:val="24"/>
          <w:lang w:val="id-ID"/>
        </w:rPr>
        <w:t xml:space="preserve"> artinya adalah pengadilan (</w:t>
      </w:r>
      <w:r w:rsidRPr="00860147">
        <w:rPr>
          <w:i/>
          <w:iCs/>
          <w:sz w:val="24"/>
          <w:szCs w:val="24"/>
          <w:lang w:val="id-ID"/>
        </w:rPr>
        <w:t>court</w:t>
      </w:r>
      <w:r w:rsidRPr="00860147">
        <w:rPr>
          <w:sz w:val="24"/>
          <w:szCs w:val="24"/>
          <w:lang w:val="id-ID"/>
        </w:rPr>
        <w:t>).</w:t>
      </w:r>
      <w:r w:rsidRPr="00E670E0">
        <w:rPr>
          <w:rStyle w:val="ReferensiCatatanKaki"/>
          <w:sz w:val="24"/>
          <w:szCs w:val="24"/>
        </w:rPr>
        <w:footnoteReference w:id="17"/>
      </w:r>
      <w:r w:rsidRPr="00860147">
        <w:rPr>
          <w:sz w:val="24"/>
          <w:szCs w:val="24"/>
          <w:lang w:val="id-ID"/>
        </w:rPr>
        <w:t xml:space="preserve"> </w:t>
      </w:r>
      <w:r w:rsidRPr="00860147">
        <w:rPr>
          <w:i/>
          <w:iCs/>
          <w:sz w:val="24"/>
          <w:szCs w:val="24"/>
          <w:lang w:val="id-ID"/>
        </w:rPr>
        <w:t>Amicus curiae</w:t>
      </w:r>
      <w:r w:rsidRPr="00860147">
        <w:rPr>
          <w:sz w:val="24"/>
          <w:szCs w:val="24"/>
          <w:lang w:val="id-ID"/>
        </w:rPr>
        <w:t xml:space="preserve"> awalnya berasal dari tradisi hukum Romawi.</w:t>
      </w:r>
      <w:r w:rsidRPr="00E670E0">
        <w:rPr>
          <w:rStyle w:val="ReferensiCatatanKaki"/>
          <w:sz w:val="24"/>
          <w:szCs w:val="24"/>
        </w:rPr>
        <w:footnoteReference w:id="18"/>
      </w:r>
      <w:r w:rsidRPr="00860147">
        <w:rPr>
          <w:sz w:val="24"/>
          <w:szCs w:val="24"/>
          <w:lang w:val="id-ID"/>
        </w:rPr>
        <w:t xml:space="preserve"> </w:t>
      </w:r>
    </w:p>
    <w:p w14:paraId="3C2362EE" w14:textId="77777777" w:rsidR="00860147" w:rsidRDefault="00860147" w:rsidP="00831CBE">
      <w:pPr>
        <w:pStyle w:val="DaftarParagraf"/>
        <w:widowControl/>
        <w:autoSpaceDE/>
        <w:spacing w:after="160" w:line="360" w:lineRule="auto"/>
        <w:ind w:left="567" w:right="0" w:firstLine="720"/>
        <w:contextualSpacing/>
        <w:rPr>
          <w:sz w:val="24"/>
          <w:szCs w:val="24"/>
          <w:lang w:val="id-ID"/>
        </w:rPr>
      </w:pPr>
      <w:r w:rsidRPr="00860147">
        <w:rPr>
          <w:sz w:val="24"/>
          <w:szCs w:val="24"/>
          <w:lang w:val="id-ID"/>
        </w:rPr>
        <w:t xml:space="preserve">Sedangkan </w:t>
      </w:r>
      <w:r w:rsidRPr="00860147">
        <w:rPr>
          <w:i/>
          <w:iCs/>
          <w:sz w:val="24"/>
          <w:szCs w:val="24"/>
          <w:lang w:val="id-ID"/>
        </w:rPr>
        <w:t>amicus curiae</w:t>
      </w:r>
      <w:r w:rsidRPr="00860147">
        <w:rPr>
          <w:sz w:val="24"/>
          <w:szCs w:val="24"/>
          <w:lang w:val="id-ID"/>
        </w:rPr>
        <w:t xml:space="preserve"> dapat diartikan sebagai bentuk dukungan atau advokasi (pembelaan) yang dilakukan oleh seseorang atau beberapa orang maupun atas nama lembaga yang berpengaruh dan terhormat di masyarakat dan pemerintahan kepada para hakim yang sedang menangani suatu perkara di pengadilan atau litigasi. </w:t>
      </w:r>
      <w:r w:rsidRPr="00860147">
        <w:rPr>
          <w:sz w:val="24"/>
          <w:szCs w:val="24"/>
        </w:rPr>
        <w:t xml:space="preserve">Yang dimaksud dengan orang-orang atau lembaga yang berpengaruh dan terhormat tersebut adalah mereka yang bukan merupakan pihak tetapi merasa memiliki kepentingan dan kepedulian terhadap suatu perkara yang umumnya mmerupakan tokoh masyarkat, akademisi, ilmuwan, anggota parlemen,  negarawan. Dukungan atau advokasi tersebut dapat disampaikan secara tertulis maupun lisan yang memuat pandangan (perspektif) dan atau informasi yang penting, terkait, dan bermanfaat untuk diketahui pengadilan dan dapat menjadi bahan p rtimbangan para hakim yang sedang menangani suatu </w:t>
      </w:r>
      <w:r w:rsidRPr="00860147">
        <w:rPr>
          <w:sz w:val="24"/>
          <w:szCs w:val="24"/>
          <w:lang w:val="id-ID"/>
        </w:rPr>
        <w:t>perkara.</w:t>
      </w:r>
      <w:r w:rsidRPr="00E670E0">
        <w:rPr>
          <w:vertAlign w:val="superscript"/>
          <w:lang w:val="id-ID"/>
        </w:rPr>
        <w:footnoteReference w:id="19"/>
      </w:r>
      <w:r>
        <w:rPr>
          <w:sz w:val="24"/>
          <w:szCs w:val="24"/>
          <w:lang w:val="id-ID"/>
        </w:rPr>
        <w:t xml:space="preserve"> </w:t>
      </w:r>
      <w:r w:rsidRPr="00860147">
        <w:rPr>
          <w:sz w:val="24"/>
          <w:szCs w:val="24"/>
          <w:lang w:val="id-ID"/>
        </w:rPr>
        <w:t xml:space="preserve">Informasi atau dokumen yang memuat informasi yang disampaikan tersebut dinamakan </w:t>
      </w:r>
      <w:r w:rsidRPr="00860147">
        <w:rPr>
          <w:i/>
          <w:iCs/>
          <w:sz w:val="24"/>
          <w:szCs w:val="24"/>
          <w:lang w:val="id-ID"/>
        </w:rPr>
        <w:t>amicus brief</w:t>
      </w:r>
      <w:r w:rsidRPr="00860147">
        <w:rPr>
          <w:sz w:val="24"/>
          <w:szCs w:val="24"/>
          <w:lang w:val="id-ID"/>
        </w:rPr>
        <w:t xml:space="preserve"> dan orang atau pihak-pihak yang menyampaikan disebut </w:t>
      </w:r>
      <w:r w:rsidRPr="00860147">
        <w:rPr>
          <w:i/>
          <w:iCs/>
          <w:sz w:val="24"/>
          <w:szCs w:val="24"/>
          <w:lang w:val="id-ID"/>
        </w:rPr>
        <w:t xml:space="preserve">amici </w:t>
      </w:r>
      <w:r w:rsidRPr="00860147">
        <w:rPr>
          <w:sz w:val="24"/>
          <w:szCs w:val="24"/>
          <w:lang w:val="id-ID"/>
        </w:rPr>
        <w:t xml:space="preserve">(apabila lebih dari seorang disebut </w:t>
      </w:r>
      <w:r w:rsidRPr="00860147">
        <w:rPr>
          <w:i/>
          <w:iCs/>
          <w:sz w:val="24"/>
          <w:szCs w:val="24"/>
          <w:lang w:val="id-ID"/>
        </w:rPr>
        <w:t>amicis</w:t>
      </w:r>
      <w:r w:rsidRPr="00860147">
        <w:rPr>
          <w:sz w:val="24"/>
          <w:szCs w:val="24"/>
          <w:lang w:val="id-ID"/>
        </w:rPr>
        <w:t xml:space="preserve">), yakni mereka yang tergerak hati dan jiwanya untuk memberikan masukan substantif terkait suatu perkara yang sedang diperiksa di pengadilan dalam rangka menegakkan kebenaran dan keadilan dengan posisi bisa memberikan dukungan atau yang berseberangan dengan salah satu pihak yang berperkara. Namun, sekali lagi perlu digarisbawahi, bahwa amici bukan bagian atau pihak yang terafiliasi dengan pihak yang berperkara. Bahwa </w:t>
      </w:r>
      <w:r w:rsidRPr="00860147">
        <w:rPr>
          <w:i/>
          <w:iCs/>
          <w:sz w:val="24"/>
          <w:szCs w:val="24"/>
          <w:lang w:val="id-ID"/>
        </w:rPr>
        <w:t>amicus brief</w:t>
      </w:r>
      <w:r w:rsidRPr="00860147">
        <w:rPr>
          <w:sz w:val="24"/>
          <w:szCs w:val="24"/>
          <w:lang w:val="id-ID"/>
        </w:rPr>
        <w:t xml:space="preserve"> mensyaratkan </w:t>
      </w:r>
      <w:r w:rsidRPr="00860147">
        <w:rPr>
          <w:i/>
          <w:iCs/>
          <w:sz w:val="24"/>
          <w:szCs w:val="24"/>
          <w:lang w:val="id-ID"/>
        </w:rPr>
        <w:t>amici</w:t>
      </w:r>
      <w:r w:rsidRPr="00860147">
        <w:rPr>
          <w:sz w:val="24"/>
          <w:szCs w:val="24"/>
          <w:lang w:val="id-ID"/>
        </w:rPr>
        <w:t xml:space="preserve">(s) bukan bagian dari pihak yang berperkara sudah seharusnya demikian karena </w:t>
      </w:r>
      <w:r w:rsidRPr="00860147">
        <w:rPr>
          <w:i/>
          <w:iCs/>
          <w:sz w:val="24"/>
          <w:szCs w:val="24"/>
          <w:lang w:val="id-ID"/>
        </w:rPr>
        <w:t>amicus curiae</w:t>
      </w:r>
      <w:r w:rsidRPr="00860147">
        <w:rPr>
          <w:sz w:val="24"/>
          <w:szCs w:val="24"/>
          <w:lang w:val="id-ID"/>
        </w:rPr>
        <w:t xml:space="preserve"> secara konseptual, pada hakikatnya bertujuan untuk menegakkan kebenaran dan keadilan dalam suatu perkara. Oleh karena itu, apabila </w:t>
      </w:r>
      <w:r w:rsidRPr="00860147">
        <w:rPr>
          <w:i/>
          <w:iCs/>
          <w:sz w:val="24"/>
          <w:szCs w:val="24"/>
          <w:lang w:val="id-ID"/>
        </w:rPr>
        <w:t>amici</w:t>
      </w:r>
      <w:r w:rsidRPr="00860147">
        <w:rPr>
          <w:sz w:val="24"/>
          <w:szCs w:val="24"/>
          <w:lang w:val="id-ID"/>
        </w:rPr>
        <w:t xml:space="preserve"> merupakan bagian dari pihak-pihak yang bersengketa, maka tak bisa dipungkiri akan timbul kecenderungan dia berpihak dan akan menguntungkan pihak yang diwakili atau yang memiliki afiliasi dengan </w:t>
      </w:r>
      <w:r w:rsidRPr="00860147">
        <w:rPr>
          <w:i/>
          <w:iCs/>
          <w:sz w:val="24"/>
          <w:szCs w:val="24"/>
          <w:lang w:val="id-ID"/>
        </w:rPr>
        <w:t>amici</w:t>
      </w:r>
      <w:r w:rsidRPr="00860147">
        <w:rPr>
          <w:sz w:val="24"/>
          <w:szCs w:val="24"/>
          <w:lang w:val="id-ID"/>
        </w:rPr>
        <w:t xml:space="preserve">. </w:t>
      </w:r>
      <w:r w:rsidRPr="00860147">
        <w:rPr>
          <w:i/>
          <w:iCs/>
          <w:sz w:val="24"/>
          <w:szCs w:val="24"/>
          <w:lang w:val="id-ID"/>
        </w:rPr>
        <w:t>Amicus curiae</w:t>
      </w:r>
      <w:r w:rsidRPr="00860147">
        <w:rPr>
          <w:sz w:val="24"/>
          <w:szCs w:val="24"/>
          <w:lang w:val="id-ID"/>
        </w:rPr>
        <w:t xml:space="preserve"> biasanya adalah individu, kelompok, atau organisasi yang memiliki keahlian atau kepentingan tertentu dalam masalah hukum yang dipertanyakan dalam suatu kasus dan mereka ingin memberikan informasi atau argumen yang dapat memengaruhi keputusan pengadilan.</w:t>
      </w:r>
      <w:r w:rsidRPr="00E670E0">
        <w:rPr>
          <w:vertAlign w:val="superscript"/>
          <w:lang w:val="id-ID"/>
        </w:rPr>
        <w:footnoteReference w:id="20"/>
      </w:r>
      <w:r w:rsidRPr="00860147">
        <w:rPr>
          <w:sz w:val="24"/>
          <w:szCs w:val="24"/>
          <w:lang w:val="id-ID"/>
        </w:rPr>
        <w:t xml:space="preserve"> </w:t>
      </w:r>
    </w:p>
    <w:p w14:paraId="4C774A1D" w14:textId="60FE6EFE" w:rsidR="00860147" w:rsidRPr="00831CBE" w:rsidRDefault="00860147" w:rsidP="00831CBE">
      <w:pPr>
        <w:pStyle w:val="DaftarParagraf"/>
        <w:widowControl/>
        <w:autoSpaceDE/>
        <w:spacing w:after="160" w:line="360" w:lineRule="auto"/>
        <w:ind w:left="720" w:right="0" w:firstLine="720"/>
        <w:contextualSpacing/>
        <w:rPr>
          <w:b/>
          <w:bCs/>
          <w:sz w:val="24"/>
          <w:szCs w:val="24"/>
        </w:rPr>
      </w:pPr>
      <w:r w:rsidRPr="00860147">
        <w:rPr>
          <w:sz w:val="24"/>
          <w:szCs w:val="24"/>
          <w:lang w:val="id-ID"/>
        </w:rPr>
        <w:t xml:space="preserve">Di sisi lain, dalam praktik peradilan dan dalam proses penanganan suatu perkara di pengadilan, pihak-pihak yang bersengketa telah diberi kesempatan untuk menjelaskan pokok-pokok gugatan/dakwaan maupun jawaban atau pembelaan yang memuat dalil-dalil masing-masing di dalam gugatannya, menunjukkan bukti-bukti pendukung dan menghadirkan saksi yang berpihak, serta meminta kehadiran ahli yang sejalan dengan kepentingan para pihak tersebut. Oleh karena itu, apabila </w:t>
      </w:r>
      <w:r w:rsidRPr="00860147">
        <w:rPr>
          <w:i/>
          <w:iCs/>
          <w:sz w:val="24"/>
          <w:szCs w:val="24"/>
          <w:lang w:val="id-ID"/>
        </w:rPr>
        <w:t>amici</w:t>
      </w:r>
      <w:r w:rsidRPr="00860147">
        <w:rPr>
          <w:sz w:val="24"/>
          <w:szCs w:val="24"/>
          <w:lang w:val="id-ID"/>
        </w:rPr>
        <w:t xml:space="preserve"> berpihak, itu tidak lagi sesuai dengan prinsip dasar dari </w:t>
      </w:r>
      <w:r w:rsidRPr="00860147">
        <w:rPr>
          <w:i/>
          <w:iCs/>
          <w:sz w:val="24"/>
          <w:szCs w:val="24"/>
          <w:lang w:val="id-ID"/>
        </w:rPr>
        <w:t>amicus curiae</w:t>
      </w:r>
      <w:r w:rsidRPr="00860147">
        <w:rPr>
          <w:sz w:val="24"/>
          <w:szCs w:val="24"/>
          <w:lang w:val="id-ID"/>
        </w:rPr>
        <w:t xml:space="preserve"> karena ia lebih tepat disebut sebagai saksi ataupun ahli yang memberikan keterangan terkait kasus yang sedang diperkarakan di pengadilan.</w:t>
      </w:r>
    </w:p>
    <w:p w14:paraId="13FDCA02" w14:textId="0A571A10" w:rsidR="0076115E" w:rsidRDefault="00831CBE" w:rsidP="003B52C7">
      <w:pPr>
        <w:pStyle w:val="Judul1"/>
        <w:numPr>
          <w:ilvl w:val="0"/>
          <w:numId w:val="11"/>
        </w:numPr>
        <w:spacing w:before="82" w:line="360" w:lineRule="auto"/>
        <w:jc w:val="left"/>
      </w:pPr>
      <w:r>
        <w:t>Sejarah amicus curiae di Indonesia</w:t>
      </w:r>
    </w:p>
    <w:p w14:paraId="1EF29135" w14:textId="46CC80A3" w:rsidR="00831CBE" w:rsidRDefault="00831CBE" w:rsidP="00831CBE">
      <w:pPr>
        <w:tabs>
          <w:tab w:val="left" w:pos="7513"/>
          <w:tab w:val="left" w:pos="7655"/>
        </w:tabs>
        <w:spacing w:line="360" w:lineRule="auto"/>
        <w:ind w:left="284" w:hanging="142"/>
        <w:jc w:val="both"/>
        <w:rPr>
          <w:sz w:val="24"/>
          <w:szCs w:val="24"/>
          <w:lang w:val="id-ID"/>
        </w:rPr>
      </w:pPr>
      <w:r>
        <w:rPr>
          <w:i/>
          <w:iCs/>
          <w:sz w:val="24"/>
          <w:szCs w:val="24"/>
          <w:lang w:val="id-ID"/>
        </w:rPr>
        <w:t xml:space="preserve">           </w:t>
      </w:r>
      <w:r w:rsidRPr="005137E6">
        <w:rPr>
          <w:i/>
          <w:iCs/>
          <w:sz w:val="24"/>
          <w:szCs w:val="24"/>
          <w:lang w:val="id-ID"/>
        </w:rPr>
        <w:t>Amicus curiae</w:t>
      </w:r>
      <w:r w:rsidRPr="005137E6">
        <w:rPr>
          <w:sz w:val="24"/>
          <w:szCs w:val="24"/>
          <w:lang w:val="id-ID"/>
        </w:rPr>
        <w:t xml:space="preserve"> awalnya berasal dari tradisi hukum Romawi.</w:t>
      </w:r>
      <w:r w:rsidRPr="005137E6">
        <w:rPr>
          <w:sz w:val="24"/>
          <w:szCs w:val="24"/>
          <w:vertAlign w:val="superscript"/>
          <w:lang w:val="id-ID"/>
        </w:rPr>
        <w:footnoteReference w:id="21"/>
      </w:r>
      <w:r>
        <w:rPr>
          <w:sz w:val="24"/>
          <w:szCs w:val="24"/>
          <w:lang w:val="id-ID"/>
        </w:rPr>
        <w:t xml:space="preserve"> </w:t>
      </w:r>
      <w:r w:rsidRPr="005137E6">
        <w:rPr>
          <w:sz w:val="24"/>
          <w:szCs w:val="24"/>
          <w:lang w:val="id-ID"/>
        </w:rPr>
        <w:t xml:space="preserve">Dalam perkembangan berikutnya, konsep </w:t>
      </w:r>
      <w:r w:rsidRPr="005137E6">
        <w:rPr>
          <w:i/>
          <w:iCs/>
          <w:sz w:val="24"/>
          <w:szCs w:val="24"/>
          <w:lang w:val="id-ID"/>
        </w:rPr>
        <w:t>amicus curiae</w:t>
      </w:r>
      <w:r w:rsidRPr="005137E6">
        <w:rPr>
          <w:sz w:val="24"/>
          <w:szCs w:val="24"/>
          <w:lang w:val="id-ID"/>
        </w:rPr>
        <w:t xml:space="preserve"> dalam sistem peradilan digunakan di negara-negara yang umumnya menganut sistem hukum </w:t>
      </w:r>
      <w:r w:rsidRPr="005137E6">
        <w:rPr>
          <w:i/>
          <w:iCs/>
          <w:sz w:val="24"/>
          <w:szCs w:val="24"/>
          <w:lang w:val="id-ID"/>
        </w:rPr>
        <w:t>Common Law,</w:t>
      </w:r>
      <w:r w:rsidRPr="005137E6">
        <w:rPr>
          <w:sz w:val="24"/>
          <w:szCs w:val="24"/>
          <w:lang w:val="id-ID"/>
        </w:rPr>
        <w:t xml:space="preserve"> khususnya pada pengadilan tingkat banding atau pada kasus-kasus besar  dan penting. Sedangkan Indonesia merupakan salah satu negara yang menganut Sistem Hukum Eropa Kontinental (</w:t>
      </w:r>
      <w:r w:rsidRPr="005137E6">
        <w:rPr>
          <w:i/>
          <w:iCs/>
          <w:sz w:val="24"/>
          <w:szCs w:val="24"/>
          <w:lang w:val="id-ID"/>
        </w:rPr>
        <w:t>Civil Law</w:t>
      </w:r>
      <w:r w:rsidRPr="005137E6">
        <w:rPr>
          <w:sz w:val="24"/>
          <w:szCs w:val="24"/>
          <w:lang w:val="id-ID"/>
        </w:rPr>
        <w:t xml:space="preserve">). Pembatasan peran hakim untuk membuat hukum di negara-negara menganut sistem </w:t>
      </w:r>
      <w:r w:rsidRPr="005137E6">
        <w:rPr>
          <w:i/>
          <w:iCs/>
          <w:sz w:val="24"/>
          <w:szCs w:val="24"/>
          <w:lang w:val="id-ID"/>
        </w:rPr>
        <w:t>Civil Law</w:t>
      </w:r>
      <w:r w:rsidRPr="005137E6">
        <w:rPr>
          <w:sz w:val="24"/>
          <w:szCs w:val="24"/>
          <w:lang w:val="id-ID"/>
        </w:rPr>
        <w:t xml:space="preserve"> merupakan suatu kebijakan yang memiliki alasan dan tujuan sosial politiknya. Dalam sistem </w:t>
      </w:r>
      <w:r w:rsidRPr="005137E6">
        <w:rPr>
          <w:i/>
          <w:iCs/>
          <w:sz w:val="24"/>
          <w:szCs w:val="24"/>
          <w:lang w:val="id-ID"/>
        </w:rPr>
        <w:t>Civil Law</w:t>
      </w:r>
      <w:r w:rsidRPr="005137E6">
        <w:rPr>
          <w:sz w:val="24"/>
          <w:szCs w:val="24"/>
          <w:lang w:val="id-ID"/>
        </w:rPr>
        <w:t xml:space="preserve"> pada peradilannya tidak menggunakan sistem juri. Hal ini juga berlaku pada peradilan di Indonesia. Meskipun secara global Indonesia menganut sistem hukum </w:t>
      </w:r>
      <w:r w:rsidRPr="005137E6">
        <w:rPr>
          <w:i/>
          <w:iCs/>
          <w:sz w:val="24"/>
          <w:szCs w:val="24"/>
          <w:lang w:val="id-ID"/>
        </w:rPr>
        <w:t>Civil Law</w:t>
      </w:r>
      <w:r w:rsidRPr="005137E6">
        <w:rPr>
          <w:sz w:val="24"/>
          <w:szCs w:val="24"/>
          <w:lang w:val="id-ID"/>
        </w:rPr>
        <w:t>, tetapi pasca amendemen ketiga Undang-Undang Dasar 1945, sistem hukum yang dianut di Indonesia adalah Sistem Hukum Pancasila.</w:t>
      </w:r>
      <w:r>
        <w:rPr>
          <w:sz w:val="24"/>
          <w:szCs w:val="24"/>
          <w:lang w:val="id-ID"/>
        </w:rPr>
        <w:t xml:space="preserve"> </w:t>
      </w:r>
      <w:r w:rsidRPr="005137E6">
        <w:rPr>
          <w:sz w:val="24"/>
          <w:szCs w:val="24"/>
          <w:lang w:val="id-ID"/>
        </w:rPr>
        <w:t xml:space="preserve">Menurut Mahfud MD, Sistem Hukum Pancasila yang dianut di Indonesia memakai "konsep prismatik", yaitu konsep yang mengambil segi-segi yang terbaik dari dua konsep yang bertentangan (antara </w:t>
      </w:r>
      <w:r w:rsidRPr="005137E6">
        <w:rPr>
          <w:i/>
          <w:iCs/>
          <w:sz w:val="24"/>
          <w:szCs w:val="24"/>
          <w:lang w:val="id-ID"/>
        </w:rPr>
        <w:t>Rechtstaat dan The Rule of Law</w:t>
      </w:r>
      <w:r w:rsidRPr="005137E6">
        <w:rPr>
          <w:sz w:val="24"/>
          <w:szCs w:val="24"/>
          <w:lang w:val="id-ID"/>
        </w:rPr>
        <w:t>) yang kemudian disatukan sebagai konsep tersendiri sehingga dapat selalu diterapkan sesuai kehidupan masyarakat Indonesia dan setiap dinamikanya.</w:t>
      </w:r>
      <w:r w:rsidRPr="005137E6">
        <w:rPr>
          <w:sz w:val="24"/>
          <w:szCs w:val="24"/>
          <w:vertAlign w:val="superscript"/>
          <w:lang w:val="id-ID"/>
        </w:rPr>
        <w:footnoteReference w:id="22"/>
      </w:r>
    </w:p>
    <w:p w14:paraId="5AB9667C" w14:textId="77777777" w:rsidR="00831CBE" w:rsidRDefault="00831CBE" w:rsidP="00831CBE">
      <w:pPr>
        <w:spacing w:line="360" w:lineRule="auto"/>
        <w:ind w:firstLine="567"/>
        <w:jc w:val="both"/>
        <w:rPr>
          <w:sz w:val="24"/>
          <w:szCs w:val="24"/>
          <w:lang w:val="id-ID"/>
        </w:rPr>
      </w:pPr>
      <w:r w:rsidRPr="005137E6">
        <w:rPr>
          <w:sz w:val="24"/>
          <w:szCs w:val="24"/>
          <w:lang w:val="id-ID"/>
        </w:rPr>
        <w:t xml:space="preserve">Di dalam proses persidangan berbagai perkara di Indonesia sudah banyak contoh kasus yang menunjukkan adanya praktik </w:t>
      </w:r>
      <w:r w:rsidRPr="005137E6">
        <w:rPr>
          <w:i/>
          <w:iCs/>
          <w:sz w:val="24"/>
          <w:szCs w:val="24"/>
          <w:lang w:val="id-ID"/>
        </w:rPr>
        <w:t>amicus curiae</w:t>
      </w:r>
      <w:r w:rsidRPr="005137E6">
        <w:rPr>
          <w:sz w:val="24"/>
          <w:szCs w:val="24"/>
          <w:lang w:val="id-ID"/>
        </w:rPr>
        <w:t xml:space="preserve"> telah berjalan. Misalnya pada kasus Majalah </w:t>
      </w:r>
      <w:r w:rsidRPr="005137E6">
        <w:rPr>
          <w:i/>
          <w:iCs/>
          <w:sz w:val="24"/>
          <w:szCs w:val="24"/>
          <w:lang w:val="id-ID"/>
        </w:rPr>
        <w:t>Times</w:t>
      </w:r>
      <w:r w:rsidRPr="005137E6">
        <w:rPr>
          <w:sz w:val="24"/>
          <w:szCs w:val="24"/>
          <w:lang w:val="id-ID"/>
        </w:rPr>
        <w:t xml:space="preserve"> dan Soeharto (1999). Dalam kasus ini para </w:t>
      </w:r>
      <w:r w:rsidRPr="005137E6">
        <w:rPr>
          <w:i/>
          <w:iCs/>
          <w:sz w:val="24"/>
          <w:szCs w:val="24"/>
          <w:lang w:val="id-ID"/>
        </w:rPr>
        <w:t>amici</w:t>
      </w:r>
      <w:r w:rsidRPr="005137E6">
        <w:rPr>
          <w:sz w:val="24"/>
          <w:szCs w:val="24"/>
          <w:lang w:val="id-ID"/>
        </w:rPr>
        <w:t>-nya terdiri dari sejumlah penggiat kemerdekaan pers, penggiat isu hak asasi manusia dan bahkan sejumlah perusahaan pers dari dalam dan luar negeri seperti Aliansi Jurnalis Independen (Indonesia), The Associates Press.</w:t>
      </w:r>
      <w:r w:rsidRPr="005137E6">
        <w:rPr>
          <w:vertAlign w:val="superscript"/>
          <w:lang w:val="id-ID"/>
        </w:rPr>
        <w:footnoteReference w:id="23"/>
      </w:r>
      <w:r w:rsidRPr="005137E6">
        <w:rPr>
          <w:sz w:val="24"/>
          <w:szCs w:val="24"/>
          <w:lang w:val="id-ID"/>
        </w:rPr>
        <w:t xml:space="preserve"> Penulis tidak menemukan penjelasan secara pasti kapan masuknya </w:t>
      </w:r>
      <w:r w:rsidRPr="005137E6">
        <w:rPr>
          <w:i/>
          <w:iCs/>
          <w:sz w:val="24"/>
          <w:szCs w:val="24"/>
          <w:lang w:val="id-ID"/>
        </w:rPr>
        <w:t xml:space="preserve"> amicus curiae </w:t>
      </w:r>
      <w:r w:rsidRPr="005137E6">
        <w:rPr>
          <w:sz w:val="24"/>
          <w:szCs w:val="24"/>
          <w:lang w:val="id-ID"/>
        </w:rPr>
        <w:t xml:space="preserve">ke Indonesia,namun yang jelas </w:t>
      </w:r>
      <w:r w:rsidRPr="005137E6">
        <w:rPr>
          <w:i/>
          <w:iCs/>
          <w:sz w:val="24"/>
          <w:szCs w:val="24"/>
          <w:lang w:val="id-ID"/>
        </w:rPr>
        <w:t xml:space="preserve"> amicus curiae </w:t>
      </w:r>
      <w:r w:rsidRPr="005137E6">
        <w:rPr>
          <w:sz w:val="24"/>
          <w:szCs w:val="24"/>
          <w:lang w:val="id-ID"/>
        </w:rPr>
        <w:t xml:space="preserve">pernah di praktikkan pertama kali di Indonesia pada kasus majalah </w:t>
      </w:r>
      <w:r w:rsidRPr="005137E6">
        <w:rPr>
          <w:i/>
          <w:iCs/>
          <w:sz w:val="24"/>
          <w:szCs w:val="24"/>
          <w:lang w:val="id-ID"/>
        </w:rPr>
        <w:t xml:space="preserve">times </w:t>
      </w:r>
      <w:r w:rsidRPr="005137E6">
        <w:rPr>
          <w:sz w:val="24"/>
          <w:szCs w:val="24"/>
          <w:lang w:val="id-ID"/>
        </w:rPr>
        <w:t>vs soeharto pada tahun 1999.</w:t>
      </w:r>
    </w:p>
    <w:p w14:paraId="159D80C9" w14:textId="77777777" w:rsidR="00831CBE" w:rsidRPr="005137E6" w:rsidRDefault="00831CBE" w:rsidP="00831CBE">
      <w:pPr>
        <w:spacing w:line="360" w:lineRule="auto"/>
        <w:ind w:firstLine="567"/>
        <w:jc w:val="both"/>
        <w:rPr>
          <w:sz w:val="24"/>
          <w:szCs w:val="24"/>
          <w:lang w:val="id-ID"/>
        </w:rPr>
      </w:pPr>
      <w:r w:rsidRPr="005137E6">
        <w:rPr>
          <w:sz w:val="24"/>
          <w:szCs w:val="24"/>
          <w:lang w:val="id-ID"/>
        </w:rPr>
        <w:t xml:space="preserve">Berikut beberapa contoh perkara-perkara yang melibatkan partisipasi </w:t>
      </w:r>
      <w:r w:rsidRPr="005137E6">
        <w:rPr>
          <w:i/>
          <w:iCs/>
          <w:sz w:val="24"/>
          <w:szCs w:val="24"/>
          <w:lang w:val="id-ID"/>
        </w:rPr>
        <w:t xml:space="preserve">amicus curiae </w:t>
      </w:r>
      <w:r w:rsidRPr="005137E6">
        <w:rPr>
          <w:sz w:val="24"/>
          <w:szCs w:val="24"/>
          <w:lang w:val="id-ID"/>
        </w:rPr>
        <w:t>mulai tahun 1999.</w:t>
      </w:r>
    </w:p>
    <w:p w14:paraId="56625B69" w14:textId="77777777" w:rsidR="00831CBE" w:rsidRDefault="00831CBE" w:rsidP="00831CBE">
      <w:pPr>
        <w:pStyle w:val="DaftarParagraf"/>
        <w:widowControl/>
        <w:numPr>
          <w:ilvl w:val="0"/>
          <w:numId w:val="36"/>
        </w:numPr>
        <w:autoSpaceDE/>
        <w:autoSpaceDN/>
        <w:spacing w:after="160" w:line="360" w:lineRule="auto"/>
        <w:ind w:left="993" w:right="0"/>
        <w:contextualSpacing/>
        <w:rPr>
          <w:sz w:val="24"/>
          <w:szCs w:val="24"/>
          <w:lang w:val="id-ID"/>
        </w:rPr>
      </w:pPr>
      <w:r w:rsidRPr="005137E6">
        <w:rPr>
          <w:sz w:val="24"/>
          <w:szCs w:val="24"/>
          <w:lang w:val="id-ID"/>
        </w:rPr>
        <w:t xml:space="preserve">Kasus Majalah </w:t>
      </w:r>
      <w:r w:rsidRPr="005137E6">
        <w:rPr>
          <w:i/>
          <w:iCs/>
          <w:sz w:val="24"/>
          <w:szCs w:val="24"/>
          <w:lang w:val="id-ID"/>
        </w:rPr>
        <w:t>Times</w:t>
      </w:r>
      <w:r w:rsidRPr="005137E6">
        <w:rPr>
          <w:sz w:val="24"/>
          <w:szCs w:val="24"/>
          <w:lang w:val="id-ID"/>
        </w:rPr>
        <w:t xml:space="preserve"> vs Soeharto</w:t>
      </w:r>
    </w:p>
    <w:p w14:paraId="1659B46C" w14:textId="1BF4F7CB" w:rsidR="00831CBE" w:rsidRPr="005137E6" w:rsidRDefault="00831CBE" w:rsidP="00831CBE">
      <w:pPr>
        <w:pStyle w:val="DaftarParagraf"/>
        <w:spacing w:line="360" w:lineRule="auto"/>
        <w:ind w:left="993" w:firstLine="447"/>
        <w:rPr>
          <w:sz w:val="24"/>
          <w:szCs w:val="24"/>
          <w:lang w:val="id-ID"/>
        </w:rPr>
      </w:pPr>
      <w:r w:rsidRPr="005137E6">
        <w:rPr>
          <w:sz w:val="24"/>
          <w:szCs w:val="24"/>
          <w:lang w:val="id-ID"/>
        </w:rPr>
        <w:t xml:space="preserve">Kasus </w:t>
      </w:r>
      <w:r w:rsidRPr="005137E6">
        <w:rPr>
          <w:i/>
          <w:iCs/>
          <w:sz w:val="24"/>
          <w:szCs w:val="24"/>
          <w:lang w:val="id-ID"/>
        </w:rPr>
        <w:t>times</w:t>
      </w:r>
      <w:r w:rsidRPr="005137E6">
        <w:rPr>
          <w:sz w:val="24"/>
          <w:szCs w:val="24"/>
          <w:lang w:val="id-ID"/>
        </w:rPr>
        <w:t xml:space="preserve"> vs Soeharto berawal ketika majalah </w:t>
      </w:r>
      <w:r w:rsidRPr="005137E6">
        <w:rPr>
          <w:i/>
          <w:iCs/>
          <w:sz w:val="24"/>
          <w:szCs w:val="24"/>
          <w:lang w:val="id-ID"/>
        </w:rPr>
        <w:t>Time</w:t>
      </w:r>
      <w:r w:rsidRPr="005137E6">
        <w:rPr>
          <w:sz w:val="24"/>
          <w:szCs w:val="24"/>
          <w:lang w:val="id-ID"/>
        </w:rPr>
        <w:t xml:space="preserve"> edisi Asia Volume 153 Nomor 20 terbitan 24 Mei 1999 memuat pemberitaan dan gambar Presiden Soeharto dengan judul sampul "</w:t>
      </w:r>
      <w:r w:rsidRPr="005137E6">
        <w:rPr>
          <w:i/>
          <w:iCs/>
          <w:sz w:val="24"/>
          <w:szCs w:val="24"/>
          <w:lang w:val="id-ID"/>
        </w:rPr>
        <w:t>Soeharto Inc. How Indonesia's longtime boss built a family fortune</w:t>
      </w:r>
      <w:r w:rsidRPr="005137E6">
        <w:rPr>
          <w:sz w:val="24"/>
          <w:szCs w:val="24"/>
          <w:lang w:val="id-ID"/>
        </w:rPr>
        <w:t>".</w:t>
      </w:r>
      <w:r>
        <w:rPr>
          <w:sz w:val="24"/>
          <w:szCs w:val="24"/>
          <w:lang w:val="id-ID"/>
        </w:rPr>
        <w:t xml:space="preserve"> </w:t>
      </w:r>
      <w:r w:rsidRPr="005137E6">
        <w:rPr>
          <w:sz w:val="24"/>
          <w:szCs w:val="24"/>
          <w:lang w:val="id-ID"/>
        </w:rPr>
        <w:t xml:space="preserve">Majalah ini mengupas tentang bagaimana Soeharto membangun kekayaan keluarganya atau Soeharto Inc. atau Perusahaan Soeharto dan memberitakan bahwa kekayaan Soeharto sejumlah Rp9 miliar dolar AS telah ditransfer dari Swiss ke Austria. Pihak Soeharto meradang dan menganggap pemberitaan yang dilakukan oleh majalah </w:t>
      </w:r>
      <w:r w:rsidRPr="005137E6">
        <w:rPr>
          <w:i/>
          <w:iCs/>
          <w:sz w:val="24"/>
          <w:szCs w:val="24"/>
          <w:lang w:val="id-ID"/>
        </w:rPr>
        <w:t>Time</w:t>
      </w:r>
      <w:r w:rsidRPr="005137E6">
        <w:rPr>
          <w:sz w:val="24"/>
          <w:szCs w:val="24"/>
          <w:lang w:val="id-ID"/>
        </w:rPr>
        <w:t xml:space="preserve"> tersebut tendensius, insinuatif, dan provokatif. Soeharto kemudian menggugat majalah tersebut ke Pengadilan Negeri (PN) Jakarta Pusat. Dalam putusan tertanggal 9 November 1999, Majelis Hakim PN Jakarta Pusat menolak seluruh tuntutan Soeharto yang diwakili sejumlah pengacaranya selaku penggugat dikarenakan Majelis Hakim yang menyidangkan perkara tersebut berpendapat bahwa pemberitaan </w:t>
      </w:r>
      <w:r w:rsidRPr="005137E6">
        <w:rPr>
          <w:i/>
          <w:iCs/>
          <w:sz w:val="24"/>
          <w:szCs w:val="24"/>
          <w:lang w:val="id-ID"/>
        </w:rPr>
        <w:t>TIME</w:t>
      </w:r>
      <w:r w:rsidRPr="005137E6">
        <w:rPr>
          <w:sz w:val="24"/>
          <w:szCs w:val="24"/>
          <w:lang w:val="id-ID"/>
        </w:rPr>
        <w:t xml:space="preserve"> tidak memenuhi unsur perbuatan melawan hukum. Atas putusan PN Jakarta Pusat tersebut Soeharto selanjutnya mengajukan upaya hukum banding ke Pengadilan Tinggi DKI Jakarta. Akan tetapi, Pengadilan Tinggi DKI, melalui putusannya pada 6 Juni 2000, justru menguatkan putusan PN Jakarta Pusat. Soeharto yang tidak puas dengan putusan </w:t>
      </w:r>
      <w:r w:rsidRPr="005137E6">
        <w:rPr>
          <w:i/>
          <w:iCs/>
          <w:sz w:val="24"/>
          <w:szCs w:val="24"/>
          <w:lang w:val="id-ID"/>
        </w:rPr>
        <w:t>Judex Factie</w:t>
      </w:r>
      <w:r w:rsidRPr="005137E6">
        <w:rPr>
          <w:sz w:val="24"/>
          <w:szCs w:val="24"/>
          <w:lang w:val="id-ID"/>
        </w:rPr>
        <w:t xml:space="preserve"> tersebut, dan kembali melakukan upaya hukum dengan mengajukan kasasi ke Mahkamah Agung (MA).Putusan Mahkamah Agung pada 30 Agustus 2007 ternyata  berbeda, yaitu justru menerima kasasi Soeharto dan sekaligus membatalkan putusan tingkat pertama dan banding. MA menghukum </w:t>
      </w:r>
      <w:r w:rsidRPr="005137E6">
        <w:rPr>
          <w:i/>
          <w:iCs/>
          <w:sz w:val="24"/>
          <w:szCs w:val="24"/>
          <w:lang w:val="id-ID"/>
        </w:rPr>
        <w:t>Time</w:t>
      </w:r>
      <w:r w:rsidRPr="005137E6">
        <w:rPr>
          <w:sz w:val="24"/>
          <w:szCs w:val="24"/>
          <w:lang w:val="id-ID"/>
        </w:rPr>
        <w:t xml:space="preserve"> untuk membayar ganti rugi immateriil kepada Soeharto senilai Rp 1 triliun dan sekaligus harus meminta maaf secara terbuka di media nasional maupun internasional. Majalah </w:t>
      </w:r>
      <w:r w:rsidRPr="005137E6">
        <w:rPr>
          <w:i/>
          <w:iCs/>
          <w:sz w:val="24"/>
          <w:szCs w:val="24"/>
          <w:lang w:val="id-ID"/>
        </w:rPr>
        <w:t>TIME</w:t>
      </w:r>
      <w:r w:rsidRPr="005137E6">
        <w:rPr>
          <w:sz w:val="24"/>
          <w:szCs w:val="24"/>
          <w:lang w:val="id-ID"/>
        </w:rPr>
        <w:t xml:space="preserve">, juga tidak terima dengan Putusan Mahkamah Agung tersebut, kemudian mengajukan Upaya Hukum Luar Biasa Peninjauan Kembali (PK) kepada Mahkamah Agung. Pada tahapan Upaya PK tersebut kemudian sejumlah penggiat kemerdekaan pers seperti Aliansi Jurnalis Independen, Organisasi HAM dan sejumlah media cetak dalam dan luar negeri mengajukan </w:t>
      </w:r>
      <w:r w:rsidRPr="005137E6">
        <w:rPr>
          <w:i/>
          <w:iCs/>
          <w:sz w:val="24"/>
          <w:szCs w:val="24"/>
          <w:lang w:val="id-ID"/>
        </w:rPr>
        <w:t>amicus curiae</w:t>
      </w:r>
      <w:r w:rsidRPr="005137E6">
        <w:rPr>
          <w:sz w:val="24"/>
          <w:szCs w:val="24"/>
          <w:lang w:val="id-ID"/>
        </w:rPr>
        <w:t xml:space="preserve"> kepada MA terkait kasus ini. Majelis Hakim Peninjauan Kembali, berdasarkan antara lain pada masukan dari para </w:t>
      </w:r>
      <w:r w:rsidRPr="005137E6">
        <w:rPr>
          <w:i/>
          <w:iCs/>
          <w:sz w:val="24"/>
          <w:szCs w:val="24"/>
          <w:lang w:val="id-ID"/>
        </w:rPr>
        <w:t>amici</w:t>
      </w:r>
      <w:r w:rsidRPr="005137E6">
        <w:rPr>
          <w:sz w:val="24"/>
          <w:szCs w:val="24"/>
          <w:lang w:val="id-ID"/>
        </w:rPr>
        <w:t xml:space="preserve">, kemudian mengabulkan PK yang diajukan </w:t>
      </w:r>
      <w:r w:rsidRPr="005137E6">
        <w:rPr>
          <w:i/>
          <w:iCs/>
          <w:sz w:val="24"/>
          <w:szCs w:val="24"/>
          <w:lang w:val="id-ID"/>
        </w:rPr>
        <w:t>Time</w:t>
      </w:r>
      <w:r w:rsidRPr="005137E6">
        <w:rPr>
          <w:sz w:val="24"/>
          <w:szCs w:val="24"/>
          <w:lang w:val="id-ID"/>
        </w:rPr>
        <w:t xml:space="preserve"> pada 16 April 2009 dan menyatakan majalah tersebut tidak melakukan perbuatan melawan hukum. Putusan ini sekaligus membatalkan putusan kasasi sebelumnya.</w:t>
      </w:r>
      <w:r w:rsidRPr="005137E6">
        <w:rPr>
          <w:vertAlign w:val="superscript"/>
          <w:lang w:val="id-ID"/>
        </w:rPr>
        <w:footnoteReference w:id="24"/>
      </w:r>
    </w:p>
    <w:p w14:paraId="269D9C83" w14:textId="77777777" w:rsidR="00831CBE" w:rsidRDefault="00831CBE" w:rsidP="00831CBE">
      <w:pPr>
        <w:pStyle w:val="Judul1"/>
        <w:spacing w:line="360" w:lineRule="auto"/>
        <w:ind w:left="0"/>
        <w:jc w:val="left"/>
      </w:pPr>
    </w:p>
    <w:p w14:paraId="4B53149C" w14:textId="3CA52588" w:rsidR="0076115E" w:rsidRDefault="00537A16" w:rsidP="00831CBE">
      <w:pPr>
        <w:pStyle w:val="Judul1"/>
        <w:spacing w:line="360" w:lineRule="auto"/>
        <w:ind w:left="142"/>
        <w:jc w:val="left"/>
      </w:pPr>
      <w:r>
        <w:t>Kesimpulan</w:t>
      </w:r>
    </w:p>
    <w:p w14:paraId="54A2245B" w14:textId="7E7B5911" w:rsidR="00831CBE" w:rsidRDefault="00831CBE" w:rsidP="007A1C1E">
      <w:pPr>
        <w:spacing w:line="360" w:lineRule="auto"/>
        <w:ind w:left="284" w:hanging="284"/>
        <w:jc w:val="both"/>
        <w:rPr>
          <w:sz w:val="24"/>
          <w:szCs w:val="24"/>
          <w:lang w:val="sv-SE"/>
        </w:rPr>
      </w:pPr>
      <w:r>
        <w:rPr>
          <w:sz w:val="24"/>
          <w:szCs w:val="24"/>
          <w:lang w:val="sv-SE"/>
        </w:rPr>
        <w:t xml:space="preserve">           </w:t>
      </w:r>
      <w:r w:rsidRPr="00EF0727">
        <w:rPr>
          <w:sz w:val="24"/>
          <w:szCs w:val="24"/>
          <w:lang w:val="sv-SE"/>
        </w:rPr>
        <w:t xml:space="preserve">Peran </w:t>
      </w:r>
      <w:r w:rsidRPr="007A1C1E">
        <w:rPr>
          <w:i/>
          <w:iCs/>
          <w:sz w:val="24"/>
          <w:szCs w:val="24"/>
          <w:lang w:val="sv-SE"/>
        </w:rPr>
        <w:t>Amicus Curiae</w:t>
      </w:r>
      <w:r w:rsidRPr="00EF0727">
        <w:rPr>
          <w:sz w:val="24"/>
          <w:szCs w:val="24"/>
          <w:lang w:val="sv-SE"/>
        </w:rPr>
        <w:t xml:space="preserve"> adalah sebagai pihak ketiga yang secara sukarela memberikan pandangan hukum, informasi, atau pertimbangan substantif kepada pengadilan dalam perkara-perkara tertentu. </w:t>
      </w:r>
      <w:r w:rsidRPr="00046206">
        <w:rPr>
          <w:i/>
          <w:iCs/>
          <w:sz w:val="24"/>
          <w:szCs w:val="24"/>
          <w:lang w:val="sv-SE"/>
        </w:rPr>
        <w:t>Amicus curiae</w:t>
      </w:r>
      <w:r w:rsidRPr="00EF0727">
        <w:rPr>
          <w:sz w:val="24"/>
          <w:szCs w:val="24"/>
          <w:lang w:val="sv-SE"/>
        </w:rPr>
        <w:t xml:space="preserve"> bertindak bukan sebagai pihak yang bersengketa, melainkan sebagai sahabat pengadilan yang bertujuan membantu hakim dalam menilai dan memutus perkara secara lebih objektif dan komprehensif, terutama dalam kasus yang menyangkut kepentingan publik atau isu-isu konstitusional yang kompleks.</w:t>
      </w:r>
    </w:p>
    <w:p w14:paraId="2111E474" w14:textId="77777777" w:rsidR="007A1C1E" w:rsidRDefault="00831CBE" w:rsidP="007A1C1E">
      <w:pPr>
        <w:spacing w:line="360" w:lineRule="auto"/>
        <w:ind w:left="284" w:firstLine="436"/>
        <w:jc w:val="both"/>
        <w:rPr>
          <w:sz w:val="24"/>
          <w:szCs w:val="24"/>
          <w:lang w:val="sv-SE"/>
        </w:rPr>
      </w:pPr>
      <w:r w:rsidRPr="00EF0727">
        <w:rPr>
          <w:sz w:val="24"/>
          <w:szCs w:val="24"/>
          <w:lang w:val="sv-SE"/>
        </w:rPr>
        <w:t xml:space="preserve">Penerapan di Indonesia, meskipun belum memiliki dasar hukum yang secara eksplisit mengatur tentang </w:t>
      </w:r>
      <w:r w:rsidRPr="00692495">
        <w:rPr>
          <w:i/>
          <w:iCs/>
          <w:sz w:val="24"/>
          <w:szCs w:val="24"/>
          <w:lang w:val="sv-SE"/>
        </w:rPr>
        <w:t>amicus curiae</w:t>
      </w:r>
      <w:r w:rsidRPr="00EF0727">
        <w:rPr>
          <w:sz w:val="24"/>
          <w:szCs w:val="24"/>
          <w:lang w:val="sv-SE"/>
        </w:rPr>
        <w:t>, praktik ini telah diakui dan digunakan dalam beberapa perkara strategis dan berdampak luas</w:t>
      </w:r>
      <w:r>
        <w:rPr>
          <w:sz w:val="24"/>
          <w:szCs w:val="24"/>
          <w:lang w:val="sv-SE"/>
        </w:rPr>
        <w:t xml:space="preserve">. </w:t>
      </w:r>
      <w:r w:rsidRPr="00EF0727">
        <w:rPr>
          <w:sz w:val="24"/>
          <w:szCs w:val="24"/>
          <w:lang w:val="sv-SE"/>
        </w:rPr>
        <w:t xml:space="preserve">Meskipun pengaturannya belum rigid, eksistensi </w:t>
      </w:r>
      <w:r w:rsidRPr="007A1C1E">
        <w:rPr>
          <w:i/>
          <w:iCs/>
          <w:sz w:val="24"/>
          <w:szCs w:val="24"/>
          <w:lang w:val="sv-SE"/>
        </w:rPr>
        <w:t>amicus curiae</w:t>
      </w:r>
      <w:r w:rsidRPr="00EF0727">
        <w:rPr>
          <w:sz w:val="24"/>
          <w:szCs w:val="24"/>
          <w:lang w:val="sv-SE"/>
        </w:rPr>
        <w:t xml:space="preserve"> mencerminkan semangat demokratisasi dalam proses peradilan.</w:t>
      </w:r>
      <w:r w:rsidR="007A1C1E">
        <w:rPr>
          <w:sz w:val="24"/>
          <w:szCs w:val="24"/>
          <w:lang w:val="sv-SE"/>
        </w:rPr>
        <w:t xml:space="preserve"> </w:t>
      </w:r>
    </w:p>
    <w:p w14:paraId="64AB89A6" w14:textId="09266589" w:rsidR="00831CBE" w:rsidRPr="00B85BDA" w:rsidRDefault="00831CBE" w:rsidP="007A1C1E">
      <w:pPr>
        <w:spacing w:line="360" w:lineRule="auto"/>
        <w:ind w:left="284" w:firstLine="436"/>
        <w:jc w:val="both"/>
        <w:rPr>
          <w:sz w:val="24"/>
          <w:szCs w:val="24"/>
          <w:lang w:val="sv-SE"/>
        </w:rPr>
      </w:pPr>
      <w:r w:rsidRPr="00EF0727">
        <w:rPr>
          <w:sz w:val="24"/>
          <w:szCs w:val="24"/>
          <w:lang w:val="sv-SE"/>
        </w:rPr>
        <w:t xml:space="preserve">Dengan demikian, secara konseptual dan historis, </w:t>
      </w:r>
      <w:r w:rsidRPr="00046206">
        <w:rPr>
          <w:i/>
          <w:iCs/>
          <w:sz w:val="24"/>
          <w:szCs w:val="24"/>
          <w:lang w:val="sv-SE"/>
        </w:rPr>
        <w:t>amicus curiae</w:t>
      </w:r>
      <w:r w:rsidRPr="00EF0727">
        <w:rPr>
          <w:sz w:val="24"/>
          <w:szCs w:val="24"/>
          <w:lang w:val="sv-SE"/>
        </w:rPr>
        <w:t xml:space="preserve"> dapat dikonstruksikan sebagai elemen pendukung dalam membangun sistem peradilan yang responsif, terbuka, dan berorientasi pada nilai keadilan substantif, yang selaras dengan prinsip negara hukum dalam sistem ketatanegaraan Indonesia. </w:t>
      </w:r>
      <w:r w:rsidRPr="00B85BDA">
        <w:rPr>
          <w:sz w:val="24"/>
          <w:szCs w:val="24"/>
          <w:lang w:val="sv-SE"/>
        </w:rPr>
        <w:t>Berdasarkan hasil analisis yang telah dilakukan</w:t>
      </w:r>
      <w:r>
        <w:rPr>
          <w:sz w:val="24"/>
          <w:szCs w:val="24"/>
          <w:lang w:val="sv-SE"/>
        </w:rPr>
        <w:t>.</w:t>
      </w:r>
    </w:p>
    <w:p w14:paraId="23CC976C" w14:textId="77777777" w:rsidR="00831CBE" w:rsidRDefault="00831CBE" w:rsidP="007A1C1E">
      <w:pPr>
        <w:spacing w:line="360" w:lineRule="auto"/>
        <w:ind w:left="284" w:firstLine="436"/>
        <w:jc w:val="both"/>
        <w:rPr>
          <w:sz w:val="24"/>
          <w:szCs w:val="24"/>
          <w:lang w:val="sv-SE"/>
        </w:rPr>
      </w:pPr>
      <w:r w:rsidRPr="00B85BDA">
        <w:rPr>
          <w:sz w:val="24"/>
          <w:szCs w:val="24"/>
          <w:lang w:val="sv-SE"/>
        </w:rPr>
        <w:t xml:space="preserve">Dalam kerangka sistem hukum Indonesia yang berakar pada tradisi </w:t>
      </w:r>
      <w:r w:rsidRPr="00B85BDA">
        <w:rPr>
          <w:i/>
          <w:iCs/>
          <w:sz w:val="24"/>
          <w:szCs w:val="24"/>
          <w:lang w:val="sv-SE"/>
        </w:rPr>
        <w:t>civil law</w:t>
      </w:r>
      <w:r w:rsidRPr="00B85BDA">
        <w:rPr>
          <w:sz w:val="24"/>
          <w:szCs w:val="24"/>
          <w:lang w:val="sv-SE"/>
        </w:rPr>
        <w:t xml:space="preserve">, keberadaan </w:t>
      </w:r>
      <w:r w:rsidRPr="00B85BDA">
        <w:rPr>
          <w:i/>
          <w:iCs/>
          <w:sz w:val="24"/>
          <w:szCs w:val="24"/>
          <w:lang w:val="sv-SE"/>
        </w:rPr>
        <w:t>amicus curiae</w:t>
      </w:r>
      <w:r w:rsidRPr="00B85BDA">
        <w:rPr>
          <w:sz w:val="24"/>
          <w:szCs w:val="24"/>
          <w:lang w:val="sv-SE"/>
        </w:rPr>
        <w:t xml:space="preserve"> menunjukkan bentuk respons normatif yang progresif terhadap tuntutan akan sistem peradilan yang menjunjung prinsip keterbukaan, partisipasi publik, serta akuntabilitas dalam proses penegakan hukum. Peran </w:t>
      </w:r>
      <w:r w:rsidRPr="00B85BDA">
        <w:rPr>
          <w:i/>
          <w:iCs/>
          <w:sz w:val="24"/>
          <w:szCs w:val="24"/>
          <w:lang w:val="sv-SE"/>
        </w:rPr>
        <w:t>amicus curiae</w:t>
      </w:r>
      <w:r w:rsidRPr="00B85BDA">
        <w:rPr>
          <w:sz w:val="24"/>
          <w:szCs w:val="24"/>
          <w:lang w:val="sv-SE"/>
        </w:rPr>
        <w:t xml:space="preserve"> memiliki signifikansi penting sebagai instrumen partisipatif yang memungkinkan kontribusi masyarakat sipil, kalangan akademik, dan organisasi non-pemerintah dalam mendukung hakim untuk memahami aspek-aspek hukum dan non-hukum dari suatu perkara, termasuk aspek sosial, ekonomi, dan keadilan substantif.</w:t>
      </w:r>
    </w:p>
    <w:p w14:paraId="55295345" w14:textId="77777777" w:rsidR="007A1C1E" w:rsidRDefault="007A1C1E" w:rsidP="007A1C1E">
      <w:pPr>
        <w:spacing w:line="360" w:lineRule="auto"/>
        <w:ind w:left="284" w:firstLine="436"/>
        <w:jc w:val="both"/>
        <w:rPr>
          <w:sz w:val="24"/>
          <w:szCs w:val="24"/>
          <w:lang w:val="sv-SE"/>
        </w:rPr>
      </w:pPr>
    </w:p>
    <w:p w14:paraId="4F90D553" w14:textId="77777777" w:rsidR="007A1C1E" w:rsidRDefault="007A1C1E" w:rsidP="007A1C1E">
      <w:pPr>
        <w:pStyle w:val="Judul1"/>
        <w:spacing w:line="360" w:lineRule="auto"/>
        <w:ind w:left="0"/>
      </w:pPr>
      <w:r>
        <w:t xml:space="preserve">  </w:t>
      </w:r>
      <w:r w:rsidR="00393C33">
        <w:t>Saran</w:t>
      </w:r>
    </w:p>
    <w:p w14:paraId="340C08C2" w14:textId="6318F58C" w:rsidR="007A1C1E" w:rsidRPr="007A1C1E" w:rsidRDefault="007A1C1E" w:rsidP="007A1C1E">
      <w:pPr>
        <w:pStyle w:val="Judul1"/>
        <w:spacing w:line="360" w:lineRule="auto"/>
        <w:ind w:left="284" w:firstLine="567"/>
      </w:pPr>
      <w:r>
        <w:t xml:space="preserve"> </w:t>
      </w:r>
      <w:r w:rsidRPr="007A1C1E">
        <w:rPr>
          <w:b w:val="0"/>
          <w:bCs w:val="0"/>
          <w:lang w:val="sv-SE"/>
        </w:rPr>
        <w:t>Untuk Meningkatkan Transparansi dan</w:t>
      </w:r>
      <w:r>
        <w:rPr>
          <w:b w:val="0"/>
          <w:bCs w:val="0"/>
          <w:lang w:val="sv-SE"/>
        </w:rPr>
        <w:t xml:space="preserve"> </w:t>
      </w:r>
      <w:r w:rsidRPr="007A1C1E">
        <w:rPr>
          <w:b w:val="0"/>
          <w:bCs w:val="0"/>
          <w:lang w:val="sv-SE"/>
        </w:rPr>
        <w:t xml:space="preserve">Akuntabilitas Peradilan. Pengadilan dapat secara terbuka mengumumkan kepada publik bahwa mereka membuka ruang </w:t>
      </w:r>
      <w:r w:rsidRPr="007A1C1E">
        <w:rPr>
          <w:b w:val="0"/>
          <w:bCs w:val="0"/>
          <w:i/>
          <w:iCs/>
          <w:lang w:val="sv-SE"/>
        </w:rPr>
        <w:t>amicus curiae</w:t>
      </w:r>
      <w:r w:rsidRPr="007A1C1E">
        <w:rPr>
          <w:b w:val="0"/>
          <w:bCs w:val="0"/>
          <w:lang w:val="sv-SE"/>
        </w:rPr>
        <w:t xml:space="preserve"> untuk perkara-perkara tertentu, terutama yang berdampak besar terhadap masyarakat. Hal ini bertujuan Meningkatkan legitimasi putusan karena disusun dengan memperhatikan berbagai sudut pandang. Mendorong kepercayaan publik terhadap peradilan sebagai institusi yang inklusif dan responsif.</w:t>
      </w:r>
    </w:p>
    <w:p w14:paraId="36CF2512" w14:textId="77777777" w:rsidR="007A1C1E" w:rsidRDefault="007A1C1E" w:rsidP="00393C33">
      <w:pPr>
        <w:pStyle w:val="Judul1"/>
        <w:ind w:left="567" w:hanging="425"/>
      </w:pPr>
    </w:p>
    <w:p w14:paraId="66D33A55" w14:textId="77777777" w:rsidR="007A1C1E" w:rsidRDefault="007A1C1E" w:rsidP="00393C33">
      <w:pPr>
        <w:pStyle w:val="Judul1"/>
        <w:ind w:left="567" w:hanging="425"/>
      </w:pPr>
    </w:p>
    <w:p w14:paraId="641944A8" w14:textId="4CB8C10F" w:rsidR="00393C33" w:rsidRDefault="00537A16" w:rsidP="00393C33">
      <w:pPr>
        <w:pStyle w:val="Judul1"/>
        <w:ind w:left="567" w:hanging="425"/>
      </w:pPr>
      <w:r>
        <w:t>Daftar</w:t>
      </w:r>
      <w:r>
        <w:rPr>
          <w:spacing w:val="-1"/>
        </w:rPr>
        <w:t xml:space="preserve"> </w:t>
      </w:r>
      <w:r>
        <w:t>Pustaka</w:t>
      </w:r>
    </w:p>
    <w:p w14:paraId="1530556B" w14:textId="4850F023" w:rsidR="00393C33" w:rsidRDefault="00393C33" w:rsidP="00393C33">
      <w:pPr>
        <w:pStyle w:val="Judul1"/>
        <w:ind w:left="567" w:hanging="425"/>
      </w:pPr>
      <w:r w:rsidRPr="00EF3163">
        <w:t>Buku</w:t>
      </w:r>
    </w:p>
    <w:p w14:paraId="3628EB18" w14:textId="77777777" w:rsidR="0099018C" w:rsidRDefault="0099018C" w:rsidP="00393C33">
      <w:pPr>
        <w:pStyle w:val="Judul1"/>
        <w:ind w:left="567" w:hanging="425"/>
      </w:pPr>
    </w:p>
    <w:p w14:paraId="732D6925" w14:textId="77777777" w:rsidR="0099018C" w:rsidRDefault="0099018C" w:rsidP="0099018C">
      <w:pPr>
        <w:spacing w:line="480" w:lineRule="auto"/>
        <w:ind w:left="709" w:hanging="567"/>
        <w:jc w:val="both"/>
        <w:rPr>
          <w:sz w:val="24"/>
          <w:szCs w:val="24"/>
          <w:lang w:val="sv-SE"/>
        </w:rPr>
      </w:pPr>
      <w:r w:rsidRPr="00D83DBE">
        <w:rPr>
          <w:sz w:val="24"/>
          <w:szCs w:val="24"/>
          <w:lang w:val="sv-SE"/>
        </w:rPr>
        <w:t>Azhary  Muhammad Tahir</w:t>
      </w:r>
      <w:r w:rsidRPr="00D83DBE">
        <w:rPr>
          <w:i/>
          <w:iCs/>
          <w:sz w:val="24"/>
          <w:szCs w:val="24"/>
          <w:lang w:val="sv-SE"/>
        </w:rPr>
        <w:t>, Negara Hukum</w:t>
      </w:r>
      <w:r w:rsidRPr="00D83DBE">
        <w:rPr>
          <w:sz w:val="24"/>
          <w:szCs w:val="24"/>
          <w:lang w:val="sv-SE"/>
        </w:rPr>
        <w:t>: Suatu Studi tentang Prinsip-prinsipnya dilihat dari Segi Hukum Islam, Implementasinya pada Periode Negara Madinah dan Masa Kini,(Jakarta: Bulan Bintang, 1992),.</w:t>
      </w:r>
    </w:p>
    <w:p w14:paraId="30279E96" w14:textId="77777777" w:rsidR="0099018C" w:rsidRDefault="0099018C" w:rsidP="0099018C">
      <w:pPr>
        <w:spacing w:line="480" w:lineRule="auto"/>
        <w:ind w:left="709" w:hanging="567"/>
        <w:jc w:val="both"/>
        <w:rPr>
          <w:sz w:val="24"/>
          <w:szCs w:val="24"/>
          <w:lang w:val="sv-SE"/>
        </w:rPr>
      </w:pPr>
      <w:r w:rsidRPr="00D83DBE">
        <w:rPr>
          <w:sz w:val="24"/>
          <w:szCs w:val="24"/>
          <w:lang w:val="id-ID"/>
        </w:rPr>
        <w:t xml:space="preserve">Assiddiqie Jimly, </w:t>
      </w:r>
      <w:r w:rsidRPr="00D83DBE">
        <w:rPr>
          <w:i/>
          <w:iCs/>
          <w:sz w:val="24"/>
          <w:szCs w:val="24"/>
          <w:lang w:val="id-ID"/>
        </w:rPr>
        <w:t>Pokok-pokok Hukum Tata Negara Pasca Reformasi</w:t>
      </w:r>
      <w:r w:rsidRPr="00D83DBE">
        <w:rPr>
          <w:sz w:val="24"/>
          <w:szCs w:val="24"/>
          <w:lang w:val="id-ID"/>
        </w:rPr>
        <w:t xml:space="preserve">, (Jakarta: Buana Ilmu Popular, 2007), </w:t>
      </w:r>
    </w:p>
    <w:p w14:paraId="7AFBBAED" w14:textId="77777777" w:rsidR="0099018C" w:rsidRDefault="0099018C" w:rsidP="0099018C">
      <w:pPr>
        <w:spacing w:line="480" w:lineRule="auto"/>
        <w:ind w:left="709" w:hanging="567"/>
        <w:jc w:val="both"/>
        <w:rPr>
          <w:i/>
          <w:iCs/>
          <w:sz w:val="24"/>
          <w:szCs w:val="24"/>
          <w:lang w:val="id-ID"/>
        </w:rPr>
      </w:pPr>
      <w:r w:rsidRPr="00D83DBE">
        <w:rPr>
          <w:sz w:val="24"/>
          <w:szCs w:val="24"/>
          <w:lang w:val="id-ID"/>
        </w:rPr>
        <w:t xml:space="preserve">Achmad fauzan, </w:t>
      </w:r>
      <w:r w:rsidRPr="00D83DBE">
        <w:rPr>
          <w:i/>
          <w:iCs/>
          <w:sz w:val="24"/>
          <w:szCs w:val="24"/>
          <w:lang w:val="id-ID"/>
        </w:rPr>
        <w:t>Perundang-undangan Lengkap Tentang Peradilan</w:t>
      </w:r>
    </w:p>
    <w:p w14:paraId="263F1F85" w14:textId="77777777" w:rsidR="0099018C" w:rsidRPr="00ED6ED6" w:rsidRDefault="0099018C" w:rsidP="0099018C">
      <w:pPr>
        <w:spacing w:line="480" w:lineRule="auto"/>
        <w:ind w:left="709" w:hanging="567"/>
        <w:jc w:val="both"/>
        <w:rPr>
          <w:i/>
          <w:iCs/>
          <w:sz w:val="24"/>
          <w:szCs w:val="24"/>
          <w:lang w:val="id-ID"/>
        </w:rPr>
      </w:pPr>
      <w:r w:rsidRPr="00ED6ED6">
        <w:rPr>
          <w:sz w:val="24"/>
          <w:szCs w:val="24"/>
        </w:rPr>
        <w:t>Aharon Barak, Judge in Democracy, (Oxford and Princeton: Princeton University Press, 2006),</w:t>
      </w:r>
    </w:p>
    <w:p w14:paraId="5EA8E9E3" w14:textId="77777777" w:rsidR="0099018C" w:rsidRPr="00D17CE2" w:rsidRDefault="0099018C" w:rsidP="0099018C">
      <w:pPr>
        <w:spacing w:line="480" w:lineRule="auto"/>
        <w:ind w:left="709" w:hanging="567"/>
        <w:jc w:val="both"/>
        <w:rPr>
          <w:i/>
          <w:iCs/>
          <w:sz w:val="24"/>
          <w:szCs w:val="24"/>
          <w:lang w:val="id-ID"/>
        </w:rPr>
      </w:pPr>
      <w:r w:rsidRPr="00D17CE2">
        <w:rPr>
          <w:sz w:val="24"/>
          <w:szCs w:val="24"/>
          <w:lang w:val="sv-SE"/>
        </w:rPr>
        <w:t>Bahder Johan Nasution, Negara Hukum dan Hak Asasi Manusia, Bandung; Mandar Maju, 2013</w:t>
      </w:r>
    </w:p>
    <w:p w14:paraId="112188A1" w14:textId="77777777" w:rsidR="0099018C" w:rsidRPr="00D83DBE" w:rsidRDefault="0099018C" w:rsidP="0099018C">
      <w:pPr>
        <w:spacing w:line="480" w:lineRule="auto"/>
        <w:ind w:left="709" w:hanging="567"/>
        <w:jc w:val="both"/>
        <w:rPr>
          <w:i/>
          <w:iCs/>
          <w:sz w:val="24"/>
          <w:szCs w:val="24"/>
          <w:lang w:val="id-ID"/>
        </w:rPr>
      </w:pPr>
      <w:r w:rsidRPr="00D83DBE">
        <w:rPr>
          <w:sz w:val="24"/>
          <w:szCs w:val="24"/>
          <w:lang w:val="id-ID"/>
        </w:rPr>
        <w:t xml:space="preserve">Faiz Elza, M. Muslih, Sahlul,  Ikhsan Azhar, Zaid Mushaf, Abdul Razaq, </w:t>
      </w:r>
      <w:r w:rsidRPr="00D83DBE">
        <w:rPr>
          <w:i/>
          <w:iCs/>
          <w:sz w:val="24"/>
          <w:szCs w:val="24"/>
          <w:lang w:val="id-ID"/>
        </w:rPr>
        <w:t>Risalah komisi yudisial</w:t>
      </w:r>
      <w:r w:rsidRPr="00D83DBE">
        <w:rPr>
          <w:sz w:val="24"/>
          <w:szCs w:val="24"/>
          <w:lang w:val="id-ID"/>
        </w:rPr>
        <w:t xml:space="preserve"> No. 22 Tahun 2004 tentang Komisi Yudisial Jakarta.</w:t>
      </w:r>
    </w:p>
    <w:p w14:paraId="4E832FD3" w14:textId="77777777" w:rsidR="0099018C" w:rsidRDefault="0099018C" w:rsidP="0099018C">
      <w:pPr>
        <w:spacing w:line="480" w:lineRule="auto"/>
        <w:ind w:left="709" w:hanging="567"/>
        <w:jc w:val="both"/>
        <w:rPr>
          <w:sz w:val="24"/>
          <w:szCs w:val="24"/>
          <w:lang w:val="id-ID"/>
        </w:rPr>
      </w:pPr>
      <w:r w:rsidRPr="00D83DBE">
        <w:rPr>
          <w:sz w:val="24"/>
          <w:szCs w:val="24"/>
          <w:lang w:val="id-ID"/>
        </w:rPr>
        <w:t xml:space="preserve">Hamzah Andi, </w:t>
      </w:r>
      <w:r w:rsidRPr="00D83DBE">
        <w:rPr>
          <w:i/>
          <w:iCs/>
          <w:sz w:val="24"/>
          <w:szCs w:val="24"/>
          <w:lang w:val="id-ID"/>
        </w:rPr>
        <w:t>Asas-asas Hukum Pidana</w:t>
      </w:r>
      <w:r w:rsidRPr="00D83DBE">
        <w:rPr>
          <w:sz w:val="24"/>
          <w:szCs w:val="24"/>
          <w:lang w:val="id-ID"/>
        </w:rPr>
        <w:t>, Rineka Cipta, Bandung, 2008,</w:t>
      </w:r>
    </w:p>
    <w:p w14:paraId="19CE995B" w14:textId="77777777" w:rsidR="0099018C" w:rsidRPr="00ED6ED6" w:rsidRDefault="0099018C" w:rsidP="0099018C">
      <w:pPr>
        <w:spacing w:line="480" w:lineRule="auto"/>
        <w:ind w:left="709" w:hanging="567"/>
        <w:jc w:val="both"/>
        <w:rPr>
          <w:sz w:val="24"/>
          <w:szCs w:val="24"/>
          <w:lang w:val="id-ID"/>
        </w:rPr>
      </w:pPr>
      <w:r w:rsidRPr="00ED6ED6">
        <w:rPr>
          <w:sz w:val="24"/>
          <w:szCs w:val="24"/>
          <w:lang w:val="sv-SE"/>
        </w:rPr>
        <w:t>Imam anshori saleh,</w:t>
      </w:r>
      <w:r w:rsidRPr="00ED6ED6">
        <w:rPr>
          <w:i/>
          <w:iCs/>
          <w:sz w:val="24"/>
          <w:szCs w:val="24"/>
          <w:lang w:val="sv-SE"/>
        </w:rPr>
        <w:t>konse pengawasan kehakiman,</w:t>
      </w:r>
      <w:r w:rsidRPr="00ED6ED6">
        <w:rPr>
          <w:sz w:val="24"/>
          <w:szCs w:val="24"/>
          <w:lang w:val="sv-SE"/>
        </w:rPr>
        <w:t>malang: setara press 2014</w:t>
      </w:r>
    </w:p>
    <w:p w14:paraId="25DDFA86" w14:textId="77777777" w:rsidR="0099018C" w:rsidRDefault="0099018C" w:rsidP="0099018C">
      <w:pPr>
        <w:spacing w:line="480" w:lineRule="auto"/>
        <w:ind w:left="709" w:hanging="567"/>
        <w:jc w:val="both"/>
        <w:rPr>
          <w:sz w:val="24"/>
          <w:szCs w:val="24"/>
        </w:rPr>
      </w:pPr>
      <w:r w:rsidRPr="00D83DBE">
        <w:rPr>
          <w:sz w:val="24"/>
          <w:szCs w:val="24"/>
        </w:rPr>
        <w:t>Johnstone Quintin, "The Role of Amicus Curiae in International Courts and Tribunals", (Vol. 64, No.3, Netherlands International Law Review, 2017, pp. 373-395).</w:t>
      </w:r>
    </w:p>
    <w:p w14:paraId="4FE09E93" w14:textId="77777777" w:rsidR="0099018C" w:rsidRPr="00B96659" w:rsidRDefault="0099018C" w:rsidP="0099018C">
      <w:pPr>
        <w:spacing w:line="480" w:lineRule="auto"/>
        <w:ind w:left="709" w:hanging="567"/>
        <w:jc w:val="both"/>
        <w:rPr>
          <w:sz w:val="24"/>
          <w:szCs w:val="24"/>
        </w:rPr>
      </w:pPr>
      <w:r w:rsidRPr="00B96659">
        <w:rPr>
          <w:sz w:val="24"/>
          <w:szCs w:val="24"/>
          <w:lang w:val="sv-SE"/>
        </w:rPr>
        <w:t>La Ode Husen, Hubungan Fungsi Pengawasan Dewan Perwakilan Rakyat dengan Badan Pemeriksa Keuangan dalam Sistem Ketatanegaraan Indonesia, Cetakan Pertama, Bandung: CV. Utomo 2005</w:t>
      </w:r>
    </w:p>
    <w:p w14:paraId="77305A92" w14:textId="77777777" w:rsidR="0099018C" w:rsidRDefault="0099018C" w:rsidP="0099018C">
      <w:pPr>
        <w:spacing w:line="480" w:lineRule="auto"/>
        <w:ind w:left="709" w:hanging="567"/>
        <w:jc w:val="both"/>
        <w:rPr>
          <w:sz w:val="24"/>
          <w:szCs w:val="24"/>
        </w:rPr>
      </w:pPr>
      <w:r w:rsidRPr="00D83DBE">
        <w:rPr>
          <w:sz w:val="24"/>
          <w:szCs w:val="24"/>
        </w:rPr>
        <w:t>Moch.Ridwan,</w:t>
      </w:r>
      <w:r w:rsidRPr="00D83DBE">
        <w:rPr>
          <w:i/>
          <w:iCs/>
          <w:sz w:val="24"/>
          <w:szCs w:val="24"/>
        </w:rPr>
        <w:t xml:space="preserve">Evaluasi pembagian jenis subtansi hukumaras implementasi tugas dan fungsi Mahkamah Agung </w:t>
      </w:r>
      <w:r w:rsidRPr="00D83DBE">
        <w:rPr>
          <w:sz w:val="24"/>
          <w:szCs w:val="24"/>
        </w:rPr>
        <w:t xml:space="preserve">prenadamedia jakarta 2019 </w:t>
      </w:r>
    </w:p>
    <w:p w14:paraId="150F85D5" w14:textId="77777777" w:rsidR="0099018C" w:rsidRDefault="0099018C" w:rsidP="0099018C">
      <w:pPr>
        <w:spacing w:line="480" w:lineRule="auto"/>
        <w:ind w:left="709" w:hanging="567"/>
        <w:jc w:val="both"/>
        <w:rPr>
          <w:sz w:val="24"/>
          <w:szCs w:val="24"/>
        </w:rPr>
      </w:pPr>
      <w:r w:rsidRPr="00D83DBE">
        <w:rPr>
          <w:i/>
          <w:iCs/>
          <w:sz w:val="24"/>
          <w:szCs w:val="24"/>
        </w:rPr>
        <w:t>Perspektif Ilmu Hukum Prilaku</w:t>
      </w:r>
      <w:r w:rsidRPr="00D83DBE">
        <w:rPr>
          <w:sz w:val="24"/>
          <w:szCs w:val="24"/>
        </w:rPr>
        <w:t xml:space="preserve">, Citra Aditya Bakti, Bandung, 2007, </w:t>
      </w:r>
    </w:p>
    <w:p w14:paraId="0F8DFA59" w14:textId="77777777" w:rsidR="0099018C" w:rsidRDefault="0099018C" w:rsidP="0099018C">
      <w:pPr>
        <w:spacing w:line="480" w:lineRule="auto"/>
        <w:ind w:left="709" w:hanging="567"/>
        <w:jc w:val="both"/>
        <w:rPr>
          <w:sz w:val="24"/>
          <w:szCs w:val="24"/>
        </w:rPr>
      </w:pPr>
      <w:r w:rsidRPr="00D83DBE">
        <w:rPr>
          <w:sz w:val="24"/>
          <w:szCs w:val="24"/>
        </w:rPr>
        <w:t>Purwantono rivan ahmad,sulaiman n.sembiring amicus curiae konsep,praktik,dan tantangan penerapannya di Indonesia</w:t>
      </w:r>
    </w:p>
    <w:p w14:paraId="54C9E420" w14:textId="77777777" w:rsidR="0099018C" w:rsidRDefault="0099018C" w:rsidP="0099018C">
      <w:pPr>
        <w:spacing w:line="480" w:lineRule="auto"/>
        <w:ind w:left="709" w:hanging="567"/>
        <w:jc w:val="both"/>
        <w:rPr>
          <w:sz w:val="24"/>
          <w:szCs w:val="24"/>
          <w:lang w:val="id-ID"/>
        </w:rPr>
      </w:pPr>
      <w:r w:rsidRPr="00D83DBE">
        <w:rPr>
          <w:sz w:val="24"/>
          <w:szCs w:val="24"/>
        </w:rPr>
        <w:t>Sudirman Antonius</w:t>
      </w:r>
      <w:r w:rsidRPr="00D83DBE">
        <w:rPr>
          <w:i/>
          <w:iCs/>
          <w:sz w:val="24"/>
          <w:szCs w:val="24"/>
        </w:rPr>
        <w:t>, Hati Nurani Hakim dan Putusannya Suatu pendekatan dari</w:t>
      </w:r>
      <w:r>
        <w:rPr>
          <w:sz w:val="24"/>
          <w:szCs w:val="24"/>
        </w:rPr>
        <w:t xml:space="preserve"> </w:t>
      </w:r>
      <w:r w:rsidRPr="00D83DBE">
        <w:rPr>
          <w:sz w:val="24"/>
          <w:szCs w:val="24"/>
        </w:rPr>
        <w:t>Tutik Titik Triwulan</w:t>
      </w:r>
      <w:r w:rsidRPr="00D83DBE">
        <w:rPr>
          <w:i/>
          <w:iCs/>
          <w:sz w:val="24"/>
          <w:szCs w:val="24"/>
        </w:rPr>
        <w:t>, Konstr</w:t>
      </w:r>
      <w:r>
        <w:rPr>
          <w:i/>
          <w:iCs/>
          <w:sz w:val="24"/>
          <w:szCs w:val="24"/>
        </w:rPr>
        <w:t xml:space="preserve"> </w:t>
      </w:r>
      <w:r w:rsidRPr="00D83DBE">
        <w:rPr>
          <w:i/>
          <w:iCs/>
          <w:sz w:val="24"/>
          <w:szCs w:val="24"/>
        </w:rPr>
        <w:t>uksi Hukum Tata Negara Indonesia</w:t>
      </w:r>
      <w:r w:rsidRPr="00D83DBE">
        <w:rPr>
          <w:sz w:val="24"/>
          <w:szCs w:val="24"/>
        </w:rPr>
        <w:t>, (Jakarta: Kencana, 2010),</w:t>
      </w:r>
      <w:r w:rsidRPr="00D83DBE">
        <w:rPr>
          <w:i/>
          <w:iCs/>
          <w:sz w:val="24"/>
          <w:szCs w:val="24"/>
          <w:lang w:val="id-ID"/>
        </w:rPr>
        <w:t>Umum, Peradilan Khusus, dan Mahkmah Konstitusi,</w:t>
      </w:r>
      <w:r w:rsidRPr="00D83DBE">
        <w:rPr>
          <w:sz w:val="24"/>
          <w:szCs w:val="24"/>
          <w:lang w:val="id-ID"/>
        </w:rPr>
        <w:t xml:space="preserve"> (Jakarta: Kencana, 2009)</w:t>
      </w:r>
      <w:r>
        <w:rPr>
          <w:sz w:val="24"/>
          <w:szCs w:val="24"/>
          <w:lang w:val="id-ID"/>
        </w:rPr>
        <w:t xml:space="preserve"> </w:t>
      </w:r>
    </w:p>
    <w:p w14:paraId="60417784" w14:textId="77777777" w:rsidR="0099018C" w:rsidRPr="00B96659" w:rsidRDefault="0099018C" w:rsidP="0099018C">
      <w:pPr>
        <w:spacing w:line="480" w:lineRule="auto"/>
        <w:ind w:left="709" w:hanging="567"/>
        <w:jc w:val="both"/>
        <w:rPr>
          <w:sz w:val="24"/>
          <w:szCs w:val="24"/>
          <w:lang w:val="id-ID"/>
        </w:rPr>
      </w:pPr>
      <w:r w:rsidRPr="00B96659">
        <w:rPr>
          <w:sz w:val="24"/>
          <w:szCs w:val="24"/>
          <w:lang w:val="sv-SE"/>
        </w:rPr>
        <w:t>Soetanto Soepiadhy, Demokrasi, Negara Hukum, dan Konstitusi, SSPL Project, Surabaya, 2009</w:t>
      </w:r>
    </w:p>
    <w:p w14:paraId="4A92DF44" w14:textId="77777777" w:rsidR="0099018C" w:rsidRDefault="0099018C" w:rsidP="0099018C">
      <w:pPr>
        <w:spacing w:line="480" w:lineRule="auto"/>
        <w:ind w:left="709" w:hanging="567"/>
        <w:jc w:val="both"/>
        <w:rPr>
          <w:sz w:val="24"/>
          <w:szCs w:val="24"/>
          <w:lang w:val="it-IT"/>
        </w:rPr>
      </w:pPr>
      <w:r w:rsidRPr="00D83DBE">
        <w:rPr>
          <w:sz w:val="24"/>
          <w:szCs w:val="24"/>
          <w:lang w:val="it-IT"/>
        </w:rPr>
        <w:t>Wirjono Prodjodikoro</w:t>
      </w:r>
      <w:r w:rsidRPr="00D83DBE">
        <w:rPr>
          <w:i/>
          <w:iCs/>
          <w:sz w:val="24"/>
          <w:szCs w:val="24"/>
          <w:lang w:val="it-IT"/>
        </w:rPr>
        <w:t>, Asas-asas Hukum Pidana di Indonesia</w:t>
      </w:r>
      <w:r w:rsidRPr="00D83DBE">
        <w:rPr>
          <w:sz w:val="24"/>
          <w:szCs w:val="24"/>
          <w:lang w:val="it-IT"/>
        </w:rPr>
        <w:t>, Refika Aditama, Bandung, 2003</w:t>
      </w:r>
    </w:p>
    <w:p w14:paraId="7F8C0526" w14:textId="77777777" w:rsidR="0099018C" w:rsidRDefault="0099018C" w:rsidP="0099018C">
      <w:pPr>
        <w:spacing w:line="480" w:lineRule="auto"/>
        <w:ind w:left="709" w:hanging="567"/>
        <w:jc w:val="both"/>
        <w:rPr>
          <w:sz w:val="24"/>
          <w:szCs w:val="24"/>
          <w:lang w:val="sv-SE"/>
        </w:rPr>
      </w:pPr>
      <w:r w:rsidRPr="00D17CE2">
        <w:rPr>
          <w:sz w:val="24"/>
          <w:szCs w:val="24"/>
          <w:lang w:val="sv-SE"/>
        </w:rPr>
        <w:t xml:space="preserve">Ridwan HR, Hukum Administrasi Negara, Jakarta: PT RajaGrafindo Persada, 2006, </w:t>
      </w:r>
    </w:p>
    <w:p w14:paraId="70A70CE5" w14:textId="0EB37ACB" w:rsidR="0099018C" w:rsidRDefault="0099018C" w:rsidP="0099018C">
      <w:pPr>
        <w:spacing w:line="480" w:lineRule="auto"/>
        <w:ind w:left="709" w:hanging="567"/>
        <w:jc w:val="both"/>
        <w:rPr>
          <w:sz w:val="24"/>
          <w:szCs w:val="24"/>
        </w:rPr>
      </w:pPr>
      <w:r w:rsidRPr="00D17CE2">
        <w:rPr>
          <w:sz w:val="24"/>
          <w:szCs w:val="24"/>
        </w:rPr>
        <w:t>Moh. Kusnardi, Hukum Tata Negara Indonesia, Sinar Bakti, Jakarta, 198</w:t>
      </w:r>
      <w:r>
        <w:rPr>
          <w:sz w:val="24"/>
          <w:szCs w:val="24"/>
        </w:rPr>
        <w:t>7</w:t>
      </w:r>
    </w:p>
    <w:p w14:paraId="7558C6B7" w14:textId="77777777" w:rsidR="0099018C" w:rsidRPr="0099018C" w:rsidRDefault="0099018C" w:rsidP="0099018C">
      <w:pPr>
        <w:spacing w:line="480" w:lineRule="auto"/>
        <w:ind w:left="709" w:hanging="567"/>
        <w:jc w:val="both"/>
        <w:rPr>
          <w:sz w:val="24"/>
          <w:szCs w:val="24"/>
        </w:rPr>
      </w:pPr>
    </w:p>
    <w:p w14:paraId="75A91B62" w14:textId="77777777" w:rsidR="00393C33" w:rsidRDefault="00393C33" w:rsidP="00393C33">
      <w:pPr>
        <w:spacing w:line="480" w:lineRule="auto"/>
        <w:ind w:left="720" w:hanging="578"/>
        <w:jc w:val="both"/>
        <w:rPr>
          <w:b/>
          <w:bCs/>
          <w:sz w:val="24"/>
          <w:szCs w:val="24"/>
        </w:rPr>
      </w:pPr>
      <w:r w:rsidRPr="00EF3163">
        <w:rPr>
          <w:b/>
          <w:bCs/>
          <w:sz w:val="24"/>
          <w:szCs w:val="24"/>
        </w:rPr>
        <w:t>Jurnal</w:t>
      </w:r>
    </w:p>
    <w:p w14:paraId="4B438707" w14:textId="77777777" w:rsidR="0099018C" w:rsidRDefault="0099018C" w:rsidP="0099018C">
      <w:pPr>
        <w:spacing w:line="480" w:lineRule="auto"/>
        <w:ind w:left="709" w:hanging="567"/>
        <w:jc w:val="both"/>
        <w:rPr>
          <w:sz w:val="24"/>
          <w:szCs w:val="24"/>
        </w:rPr>
      </w:pPr>
      <w:r w:rsidRPr="00ED6ED6">
        <w:rPr>
          <w:sz w:val="24"/>
          <w:szCs w:val="24"/>
        </w:rPr>
        <w:t>Bryan A. Garner dan Henry Campbell Black, Black’s Law Dictionary, 7th Edition, Minnesota: West Publishing, 199</w:t>
      </w:r>
      <w:r>
        <w:rPr>
          <w:sz w:val="24"/>
          <w:szCs w:val="24"/>
        </w:rPr>
        <w:t>9.</w:t>
      </w:r>
    </w:p>
    <w:p w14:paraId="47D8430A" w14:textId="77777777" w:rsidR="0099018C" w:rsidRDefault="0099018C" w:rsidP="0099018C">
      <w:pPr>
        <w:spacing w:line="480" w:lineRule="auto"/>
        <w:ind w:left="709" w:hanging="567"/>
        <w:jc w:val="both"/>
        <w:rPr>
          <w:sz w:val="24"/>
          <w:szCs w:val="24"/>
        </w:rPr>
      </w:pPr>
      <w:r w:rsidRPr="00922150">
        <w:rPr>
          <w:sz w:val="24"/>
          <w:szCs w:val="24"/>
        </w:rPr>
        <w:t>Christopher G. Buck, “</w:t>
      </w:r>
      <w:r w:rsidRPr="00922150">
        <w:rPr>
          <w:i/>
          <w:iCs/>
          <w:sz w:val="24"/>
          <w:szCs w:val="24"/>
        </w:rPr>
        <w:t>Judicial Activism</w:t>
      </w:r>
      <w:r w:rsidRPr="00922150">
        <w:rPr>
          <w:sz w:val="24"/>
          <w:szCs w:val="24"/>
        </w:rPr>
        <w:t xml:space="preserve">” dalam Gary L. Anderson dan Kathryn G. Herr, editor, </w:t>
      </w:r>
      <w:r w:rsidRPr="00922150">
        <w:rPr>
          <w:i/>
          <w:iCs/>
          <w:sz w:val="24"/>
          <w:szCs w:val="24"/>
        </w:rPr>
        <w:t>Encyclopedia of Activism and Social Justice,</w:t>
      </w:r>
      <w:r w:rsidRPr="00922150">
        <w:rPr>
          <w:sz w:val="24"/>
          <w:szCs w:val="24"/>
        </w:rPr>
        <w:t xml:space="preserve"> (California: Sage Publication, 2007)</w:t>
      </w:r>
    </w:p>
    <w:p w14:paraId="5969E1CB" w14:textId="77777777" w:rsidR="0099018C" w:rsidRDefault="0099018C" w:rsidP="0099018C">
      <w:pPr>
        <w:spacing w:line="480" w:lineRule="auto"/>
        <w:ind w:left="709" w:hanging="567"/>
        <w:jc w:val="both"/>
        <w:rPr>
          <w:sz w:val="24"/>
          <w:szCs w:val="24"/>
        </w:rPr>
      </w:pPr>
      <w:r>
        <w:rPr>
          <w:b/>
          <w:bCs/>
          <w:sz w:val="24"/>
          <w:szCs w:val="24"/>
          <w:lang w:val="id-ID"/>
        </w:rPr>
        <w:t xml:space="preserve"> </w:t>
      </w:r>
      <w:r w:rsidRPr="001A4428">
        <w:rPr>
          <w:sz w:val="24"/>
          <w:szCs w:val="24"/>
        </w:rPr>
        <w:t>Dzikirullah Muhammad H. Noho, "</w:t>
      </w:r>
      <w:r w:rsidRPr="001A4428">
        <w:rPr>
          <w:i/>
          <w:iCs/>
          <w:sz w:val="24"/>
          <w:szCs w:val="24"/>
        </w:rPr>
        <w:t>Mendudukan Common Law                                               System dan Civil LawSystem Melalui Sudut Pandang Hukum Progresif di Indonesia",</w:t>
      </w:r>
      <w:r w:rsidRPr="001A4428">
        <w:rPr>
          <w:sz w:val="24"/>
          <w:szCs w:val="24"/>
        </w:rPr>
        <w:t xml:space="preserve"> (Jurnal   Rechtsvinding,)</w:t>
      </w:r>
    </w:p>
    <w:p w14:paraId="521FC043" w14:textId="77777777" w:rsidR="0099018C" w:rsidRDefault="0099018C" w:rsidP="0099018C">
      <w:pPr>
        <w:spacing w:line="480" w:lineRule="auto"/>
        <w:ind w:left="709" w:hanging="567"/>
        <w:jc w:val="both"/>
        <w:rPr>
          <w:sz w:val="24"/>
          <w:szCs w:val="24"/>
          <w:lang w:val="id-ID"/>
        </w:rPr>
      </w:pPr>
      <w:r w:rsidRPr="00D83DBE">
        <w:rPr>
          <w:sz w:val="24"/>
          <w:szCs w:val="24"/>
          <w:lang w:val="id-ID"/>
        </w:rPr>
        <w:t>Henry S. Gao, "Amicus Curiae in WTO Dispute Settlement: Theory and Practice", (No.1 Edition, China Right Forum.</w:t>
      </w:r>
    </w:p>
    <w:p w14:paraId="074E128F" w14:textId="77777777" w:rsidR="0099018C" w:rsidRDefault="0099018C" w:rsidP="0099018C">
      <w:pPr>
        <w:spacing w:line="480" w:lineRule="auto"/>
        <w:ind w:left="709" w:hanging="567"/>
        <w:jc w:val="both"/>
        <w:rPr>
          <w:sz w:val="24"/>
          <w:szCs w:val="24"/>
          <w:lang w:val="id-ID"/>
        </w:rPr>
      </w:pPr>
      <w:r w:rsidRPr="001A4428">
        <w:rPr>
          <w:sz w:val="24"/>
          <w:szCs w:val="24"/>
        </w:rPr>
        <w:t>Hidayat, Nur. "</w:t>
      </w:r>
      <w:r w:rsidRPr="001A4428">
        <w:rPr>
          <w:i/>
          <w:iCs/>
          <w:sz w:val="24"/>
          <w:szCs w:val="24"/>
        </w:rPr>
        <w:t xml:space="preserve">Rujukan Dan Aplikasi Sistem Hukum Indonesia Berdasarkan </w:t>
      </w:r>
      <w:r>
        <w:rPr>
          <w:i/>
          <w:iCs/>
          <w:sz w:val="24"/>
          <w:szCs w:val="24"/>
        </w:rPr>
        <w:t xml:space="preserve">     </w:t>
      </w:r>
      <w:r w:rsidRPr="001A4428">
        <w:rPr>
          <w:i/>
          <w:iCs/>
          <w:sz w:val="24"/>
          <w:szCs w:val="24"/>
        </w:rPr>
        <w:t>Pasal 1 Ayat (3) UUD 1945 Pasca Amandemen Ketiga</w:t>
      </w:r>
      <w:r w:rsidRPr="001A4428">
        <w:rPr>
          <w:sz w:val="24"/>
          <w:szCs w:val="24"/>
        </w:rPr>
        <w:t>." UIR Law Review 1.2(2017)</w:t>
      </w:r>
    </w:p>
    <w:p w14:paraId="76398D7F" w14:textId="03F5C9DF" w:rsidR="0099018C" w:rsidRDefault="0099018C" w:rsidP="0099018C">
      <w:pPr>
        <w:spacing w:line="480" w:lineRule="auto"/>
        <w:ind w:left="709" w:hanging="567"/>
        <w:jc w:val="both"/>
        <w:rPr>
          <w:sz w:val="24"/>
          <w:szCs w:val="24"/>
          <w:lang w:val="it-IT"/>
        </w:rPr>
      </w:pPr>
      <w:r w:rsidRPr="00D17CE2">
        <w:rPr>
          <w:sz w:val="24"/>
          <w:szCs w:val="24"/>
          <w:lang w:val="it-IT"/>
        </w:rPr>
        <w:t>Ni'matul Huda, Negara Hukum, Demokrasi dan Judicial Review, UII Press, Yogyakarta, 2005</w:t>
      </w:r>
    </w:p>
    <w:p w14:paraId="3D26C7B3" w14:textId="77777777" w:rsidR="0099018C" w:rsidRDefault="0099018C" w:rsidP="0099018C">
      <w:pPr>
        <w:spacing w:line="480" w:lineRule="auto"/>
        <w:ind w:left="709" w:hanging="567"/>
        <w:jc w:val="both"/>
        <w:rPr>
          <w:sz w:val="24"/>
          <w:szCs w:val="24"/>
          <w:lang w:val="id-ID"/>
        </w:rPr>
      </w:pPr>
      <w:r w:rsidRPr="00D83DBE">
        <w:rPr>
          <w:sz w:val="24"/>
          <w:szCs w:val="24"/>
          <w:lang w:val="id-ID"/>
        </w:rPr>
        <w:t xml:space="preserve">Journal,April2013,). Muchsin, </w:t>
      </w:r>
      <w:r w:rsidRPr="00D83DBE">
        <w:rPr>
          <w:i/>
          <w:iCs/>
          <w:sz w:val="24"/>
          <w:szCs w:val="24"/>
          <w:lang w:val="id-ID"/>
        </w:rPr>
        <w:t>Kekuasaan Kehakiman yang Merdeka dan Kebijakan Asasi</w:t>
      </w:r>
      <w:r w:rsidRPr="00D83DBE">
        <w:rPr>
          <w:sz w:val="24"/>
          <w:szCs w:val="24"/>
          <w:lang w:val="id-ID"/>
        </w:rPr>
        <w:t>, STIH IBLAM, Jakarta, 2004</w:t>
      </w:r>
    </w:p>
    <w:p w14:paraId="56EFB521" w14:textId="77777777" w:rsidR="0015505D" w:rsidRDefault="0099018C" w:rsidP="0015505D">
      <w:pPr>
        <w:spacing w:line="480" w:lineRule="auto"/>
        <w:ind w:left="709" w:hanging="567"/>
        <w:jc w:val="both"/>
        <w:rPr>
          <w:sz w:val="24"/>
          <w:szCs w:val="24"/>
        </w:rPr>
      </w:pPr>
      <w:r w:rsidRPr="00ED6ED6">
        <w:rPr>
          <w:sz w:val="24"/>
          <w:szCs w:val="24"/>
        </w:rPr>
        <w:t xml:space="preserve">Atip Latipulhayat, “Editorial: Mendudukan Kembali </w:t>
      </w:r>
      <w:r w:rsidRPr="00ED6ED6">
        <w:rPr>
          <w:i/>
          <w:iCs/>
          <w:sz w:val="24"/>
          <w:szCs w:val="24"/>
        </w:rPr>
        <w:t>Judicial Activism</w:t>
      </w:r>
      <w:r w:rsidRPr="00ED6ED6">
        <w:rPr>
          <w:sz w:val="24"/>
          <w:szCs w:val="24"/>
        </w:rPr>
        <w:t xml:space="preserve"> Dan </w:t>
      </w:r>
      <w:r w:rsidRPr="00ED6ED6">
        <w:rPr>
          <w:i/>
          <w:iCs/>
          <w:sz w:val="24"/>
          <w:szCs w:val="24"/>
        </w:rPr>
        <w:t>Judicial Restraint</w:t>
      </w:r>
      <w:r w:rsidRPr="00ED6ED6">
        <w:rPr>
          <w:sz w:val="24"/>
          <w:szCs w:val="24"/>
        </w:rPr>
        <w:t xml:space="preserve"> Dalam Kerangka Demokrasi”, Padjadjaran Jurnal Ilmu Hukum, Volume 4, Nomor 3, (2017)</w:t>
      </w:r>
    </w:p>
    <w:p w14:paraId="23F4FBB6" w14:textId="77777777" w:rsidR="0015505D" w:rsidRDefault="0015505D" w:rsidP="0015505D">
      <w:pPr>
        <w:spacing w:line="480" w:lineRule="auto"/>
        <w:ind w:left="709" w:hanging="567"/>
        <w:jc w:val="both"/>
        <w:rPr>
          <w:sz w:val="24"/>
          <w:szCs w:val="24"/>
        </w:rPr>
      </w:pPr>
      <w:r w:rsidRPr="00731F06">
        <w:rPr>
          <w:sz w:val="24"/>
          <w:szCs w:val="24"/>
          <w:lang w:val="it-IT"/>
        </w:rPr>
        <w:t>Lailani Sungkar, "Urgensi Pengujian Formil di Indonesia: Pengujian Legitimasi dan Validitas", Jurnal Konstitusi, Vol. 18 No. 4 (2021)</w:t>
      </w:r>
    </w:p>
    <w:p w14:paraId="4D53B7D9" w14:textId="5D0856C0" w:rsidR="0015505D" w:rsidRDefault="0015505D" w:rsidP="0015505D">
      <w:pPr>
        <w:spacing w:line="480" w:lineRule="auto"/>
        <w:ind w:left="709" w:hanging="567"/>
        <w:jc w:val="both"/>
        <w:rPr>
          <w:sz w:val="24"/>
          <w:szCs w:val="24"/>
        </w:rPr>
      </w:pPr>
      <w:r w:rsidRPr="00D83DBE">
        <w:rPr>
          <w:sz w:val="24"/>
          <w:szCs w:val="24"/>
        </w:rPr>
        <w:t>Rahmawati, Dwi. “Megawati Ajukan diri sebagai Amicus Curiae Sengketa Pilpres di MK,” detik.com, 16 April 2024.</w:t>
      </w:r>
    </w:p>
    <w:p w14:paraId="3FBE5FC2" w14:textId="77777777" w:rsidR="0015505D" w:rsidRDefault="0015505D" w:rsidP="0015505D">
      <w:pPr>
        <w:spacing w:line="480" w:lineRule="auto"/>
        <w:jc w:val="both"/>
        <w:rPr>
          <w:b/>
          <w:bCs/>
          <w:sz w:val="24"/>
          <w:szCs w:val="24"/>
        </w:rPr>
      </w:pPr>
      <w:r>
        <w:rPr>
          <w:sz w:val="24"/>
          <w:szCs w:val="24"/>
          <w:lang w:val="id-ID"/>
        </w:rPr>
        <w:t xml:space="preserve"> </w:t>
      </w:r>
      <w:r w:rsidR="0099018C">
        <w:rPr>
          <w:sz w:val="24"/>
          <w:szCs w:val="24"/>
        </w:rPr>
        <w:t xml:space="preserve"> </w:t>
      </w:r>
      <w:r w:rsidR="00393C33">
        <w:rPr>
          <w:b/>
          <w:bCs/>
          <w:sz w:val="24"/>
          <w:szCs w:val="24"/>
        </w:rPr>
        <w:t>Internet</w:t>
      </w:r>
    </w:p>
    <w:p w14:paraId="4D6D5DBA" w14:textId="77777777" w:rsidR="0015505D" w:rsidRDefault="0015505D" w:rsidP="0015505D">
      <w:pPr>
        <w:spacing w:line="480" w:lineRule="auto"/>
        <w:ind w:left="142"/>
        <w:jc w:val="both"/>
        <w:rPr>
          <w:b/>
          <w:bCs/>
          <w:sz w:val="24"/>
          <w:szCs w:val="24"/>
        </w:rPr>
      </w:pPr>
      <w:hyperlink r:id="rId12" w:history="1">
        <w:r w:rsidRPr="00630C08">
          <w:rPr>
            <w:rStyle w:val="Hyperlink"/>
            <w:sz w:val="24"/>
            <w:szCs w:val="24"/>
            <w:lang w:val="it-IT"/>
          </w:rPr>
          <w:t>https://icjr.or.id/amicus-brief-prita-mulyasari-    vs-negara-republik-indonesia</w:t>
        </w:r>
      </w:hyperlink>
    </w:p>
    <w:p w14:paraId="2163D0B8" w14:textId="4E62B4B4" w:rsidR="0015505D" w:rsidRPr="0015505D" w:rsidRDefault="0015505D" w:rsidP="0015505D">
      <w:pPr>
        <w:spacing w:line="480" w:lineRule="auto"/>
        <w:ind w:left="142"/>
        <w:jc w:val="both"/>
        <w:rPr>
          <w:b/>
          <w:bCs/>
          <w:sz w:val="24"/>
          <w:szCs w:val="24"/>
        </w:rPr>
      </w:pPr>
      <w:hyperlink r:id="rId13" w:history="1">
        <w:r w:rsidRPr="00630C08">
          <w:rPr>
            <w:rStyle w:val="Hyperlink"/>
            <w:sz w:val="24"/>
            <w:szCs w:val="24"/>
            <w:lang w:val="it-IT"/>
          </w:rPr>
          <w:t>https://www.hukumonline.com/berita/a/meninjau-ulang-peran-amicus-curiae-dalam-sistem</w:t>
        </w:r>
      </w:hyperlink>
      <w:r w:rsidRPr="0077128B">
        <w:rPr>
          <w:sz w:val="24"/>
          <w:szCs w:val="24"/>
          <w:lang w:val="it-IT"/>
        </w:rPr>
        <w:t xml:space="preserve"> peradilan-pidana-di-indonesia</w:t>
      </w:r>
      <w:r>
        <w:rPr>
          <w:sz w:val="24"/>
          <w:szCs w:val="24"/>
          <w:lang w:val="it-IT"/>
        </w:rPr>
        <w:t>.</w:t>
      </w:r>
    </w:p>
    <w:p w14:paraId="5CD01A15" w14:textId="0D4AE95B" w:rsidR="0015505D" w:rsidRDefault="0015505D" w:rsidP="0099018C">
      <w:pPr>
        <w:spacing w:line="480" w:lineRule="auto"/>
        <w:jc w:val="both"/>
        <w:rPr>
          <w:b/>
          <w:bCs/>
          <w:sz w:val="24"/>
          <w:szCs w:val="24"/>
        </w:rPr>
      </w:pPr>
    </w:p>
    <w:p w14:paraId="67666DD0" w14:textId="77777777" w:rsidR="0015505D" w:rsidRDefault="00393C33" w:rsidP="0015505D">
      <w:pPr>
        <w:spacing w:line="480" w:lineRule="auto"/>
        <w:ind w:left="720" w:hanging="578"/>
        <w:jc w:val="both"/>
        <w:rPr>
          <w:b/>
          <w:bCs/>
          <w:sz w:val="24"/>
          <w:szCs w:val="24"/>
        </w:rPr>
      </w:pPr>
      <w:r w:rsidRPr="00EF3163">
        <w:rPr>
          <w:b/>
          <w:bCs/>
          <w:sz w:val="24"/>
          <w:szCs w:val="24"/>
        </w:rPr>
        <w:t xml:space="preserve">Peraturan </w:t>
      </w:r>
      <w:r>
        <w:rPr>
          <w:b/>
          <w:bCs/>
          <w:sz w:val="24"/>
          <w:szCs w:val="24"/>
        </w:rPr>
        <w:t>Perundang-undangan</w:t>
      </w:r>
    </w:p>
    <w:p w14:paraId="503E6418" w14:textId="77777777" w:rsidR="0015505D" w:rsidRDefault="0015505D" w:rsidP="0015505D">
      <w:pPr>
        <w:spacing w:line="480" w:lineRule="auto"/>
        <w:ind w:left="720" w:hanging="578"/>
        <w:jc w:val="both"/>
        <w:rPr>
          <w:b/>
          <w:bCs/>
          <w:sz w:val="24"/>
          <w:szCs w:val="24"/>
        </w:rPr>
      </w:pPr>
      <w:r w:rsidRPr="00D83DBE">
        <w:rPr>
          <w:sz w:val="24"/>
          <w:szCs w:val="24"/>
          <w:lang w:val="id-ID"/>
        </w:rPr>
        <w:t>Undang-undang Republik Indonesia Dasar 194</w:t>
      </w:r>
      <w:r>
        <w:rPr>
          <w:sz w:val="24"/>
          <w:szCs w:val="24"/>
          <w:lang w:val="id-ID"/>
        </w:rPr>
        <w:t>5</w:t>
      </w:r>
    </w:p>
    <w:p w14:paraId="042E43D4" w14:textId="77777777" w:rsidR="0015505D" w:rsidRDefault="0015505D" w:rsidP="0015505D">
      <w:pPr>
        <w:spacing w:line="480" w:lineRule="auto"/>
        <w:ind w:left="720" w:hanging="578"/>
        <w:jc w:val="both"/>
        <w:rPr>
          <w:b/>
          <w:bCs/>
          <w:sz w:val="24"/>
          <w:szCs w:val="24"/>
        </w:rPr>
      </w:pPr>
      <w:r w:rsidRPr="00D83DBE">
        <w:rPr>
          <w:sz w:val="24"/>
          <w:szCs w:val="24"/>
          <w:lang w:val="id-ID"/>
        </w:rPr>
        <w:t>Undang-undang Nomor 48 Tahun 2009 Tentang kekuasaan Kehakiman.</w:t>
      </w:r>
    </w:p>
    <w:p w14:paraId="326174DC" w14:textId="77777777" w:rsidR="0015505D" w:rsidRDefault="0015505D" w:rsidP="0015505D">
      <w:pPr>
        <w:spacing w:line="480" w:lineRule="auto"/>
        <w:ind w:left="720" w:hanging="578"/>
        <w:jc w:val="both"/>
        <w:rPr>
          <w:sz w:val="24"/>
          <w:szCs w:val="24"/>
          <w:lang w:val="de-DE"/>
        </w:rPr>
      </w:pPr>
      <w:r w:rsidRPr="00B96659">
        <w:rPr>
          <w:sz w:val="24"/>
          <w:szCs w:val="24"/>
          <w:lang w:val="de-DE"/>
        </w:rPr>
        <w:t>Undang-Undang Nomor 5 Tahun 2004 jo. Undang-Undang Nomor 3 Tahun 2009 tentang Mahkamah Agung</w:t>
      </w:r>
    </w:p>
    <w:p w14:paraId="22B94DD1" w14:textId="77777777" w:rsidR="0015505D" w:rsidRDefault="0015505D" w:rsidP="0015505D">
      <w:pPr>
        <w:spacing w:line="480" w:lineRule="auto"/>
        <w:ind w:left="720" w:hanging="578"/>
        <w:jc w:val="both"/>
        <w:rPr>
          <w:sz w:val="24"/>
          <w:szCs w:val="24"/>
          <w:lang w:val="de-DE"/>
        </w:rPr>
      </w:pPr>
      <w:r w:rsidRPr="00B96659">
        <w:rPr>
          <w:sz w:val="24"/>
          <w:szCs w:val="24"/>
          <w:lang w:val="de-DE"/>
        </w:rPr>
        <w:t>Undang-Undang Nomor 4 Tahun 2014 jo.tentang mahkamah konstitusi</w:t>
      </w:r>
    </w:p>
    <w:p w14:paraId="790BB4ED" w14:textId="77777777" w:rsidR="0015505D" w:rsidRDefault="0015505D" w:rsidP="0015505D">
      <w:pPr>
        <w:spacing w:line="480" w:lineRule="auto"/>
        <w:ind w:left="720" w:hanging="578"/>
        <w:jc w:val="both"/>
        <w:rPr>
          <w:sz w:val="24"/>
          <w:szCs w:val="24"/>
          <w:lang w:val="de-DE"/>
        </w:rPr>
      </w:pPr>
      <w:r w:rsidRPr="001A4428">
        <w:rPr>
          <w:sz w:val="24"/>
          <w:szCs w:val="24"/>
          <w:lang w:val="it-IT"/>
        </w:rPr>
        <w:t>Undang-Undang Nomor 1 Tahun 2024 tentang Perubahan Kedua atas Undang-Undang Nomor 11 Tahun 2008 tentang Informasi dan Transaksi Elektronik</w:t>
      </w:r>
    </w:p>
    <w:p w14:paraId="6C000C01" w14:textId="77777777" w:rsidR="0015505D" w:rsidRDefault="0015505D" w:rsidP="0015505D">
      <w:pPr>
        <w:spacing w:line="480" w:lineRule="auto"/>
        <w:ind w:left="720" w:hanging="578"/>
        <w:jc w:val="both"/>
        <w:rPr>
          <w:sz w:val="24"/>
          <w:szCs w:val="24"/>
          <w:lang w:val="de-DE"/>
        </w:rPr>
      </w:pPr>
      <w:r w:rsidRPr="00B96659">
        <w:rPr>
          <w:sz w:val="24"/>
          <w:szCs w:val="24"/>
          <w:lang w:val="de-DE"/>
        </w:rPr>
        <w:t>Undang-Undang Nomor 50 Tahun 2009 tentang peradilan agama Perubahan Kedua atas undang-undang nomor 7 tqhun1989</w:t>
      </w:r>
    </w:p>
    <w:p w14:paraId="4487999C" w14:textId="77777777" w:rsidR="0015505D" w:rsidRDefault="0015505D" w:rsidP="0015505D">
      <w:pPr>
        <w:spacing w:line="480" w:lineRule="auto"/>
        <w:ind w:left="720" w:hanging="578"/>
        <w:jc w:val="both"/>
        <w:rPr>
          <w:sz w:val="24"/>
          <w:szCs w:val="24"/>
          <w:lang w:val="de-DE"/>
        </w:rPr>
      </w:pPr>
      <w:r w:rsidRPr="00B96659">
        <w:rPr>
          <w:sz w:val="24"/>
          <w:szCs w:val="24"/>
          <w:lang w:val="de-DE"/>
        </w:rPr>
        <w:t>Undang-Undang Negara Republik Indonesia Nomor 31 Tahun 1997 tentang Peradilan Militer</w:t>
      </w:r>
      <w:r>
        <w:rPr>
          <w:sz w:val="24"/>
          <w:szCs w:val="24"/>
          <w:lang w:val="de-DE"/>
        </w:rPr>
        <w:t>.</w:t>
      </w:r>
    </w:p>
    <w:p w14:paraId="6E9780DA" w14:textId="77777777" w:rsidR="0015505D" w:rsidRDefault="0015505D" w:rsidP="0015505D">
      <w:pPr>
        <w:spacing w:line="480" w:lineRule="auto"/>
        <w:ind w:left="720" w:hanging="578"/>
        <w:jc w:val="both"/>
        <w:rPr>
          <w:sz w:val="24"/>
          <w:szCs w:val="24"/>
          <w:lang w:val="de-DE"/>
        </w:rPr>
      </w:pPr>
      <w:r w:rsidRPr="00B96659">
        <w:rPr>
          <w:sz w:val="24"/>
          <w:szCs w:val="24"/>
          <w:lang w:val="de-DE"/>
        </w:rPr>
        <w:t>Undang-Undang Nomor 51 Tahun 2009 tentang Perubahan Kedua Atas Undang-Undang Nomor 5 Tahun 1986 tentang Peradilan Tata Usaha Negara</w:t>
      </w:r>
    </w:p>
    <w:p w14:paraId="3EA85C89" w14:textId="77777777" w:rsidR="0015505D" w:rsidRDefault="0015505D" w:rsidP="0015505D">
      <w:pPr>
        <w:spacing w:line="480" w:lineRule="auto"/>
        <w:ind w:left="720" w:hanging="578"/>
        <w:jc w:val="both"/>
        <w:rPr>
          <w:sz w:val="24"/>
          <w:szCs w:val="24"/>
          <w:lang w:val="de-DE"/>
        </w:rPr>
      </w:pPr>
      <w:r w:rsidRPr="0077128B">
        <w:rPr>
          <w:sz w:val="24"/>
          <w:szCs w:val="24"/>
          <w:lang w:val="it-IT"/>
        </w:rPr>
        <w:t>Pasal 180 ayat (1) UU No. 8 Tahun 1981 tentang Hukum Acara Pidana (KUHAP)</w:t>
      </w:r>
    </w:p>
    <w:p w14:paraId="4759AE4B" w14:textId="6F3E2899" w:rsidR="0015505D" w:rsidRPr="00A046D7" w:rsidRDefault="0015505D" w:rsidP="0015505D">
      <w:pPr>
        <w:spacing w:line="480" w:lineRule="auto"/>
        <w:ind w:left="720" w:hanging="578"/>
        <w:jc w:val="both"/>
        <w:rPr>
          <w:sz w:val="24"/>
          <w:szCs w:val="24"/>
          <w:lang w:val="de-DE"/>
        </w:rPr>
      </w:pPr>
      <w:r w:rsidRPr="0077128B">
        <w:rPr>
          <w:sz w:val="24"/>
          <w:szCs w:val="24"/>
          <w:lang w:val="it-IT"/>
        </w:rPr>
        <w:t>Pasal 89 ayat (3) Undang-Undang Nomor 39 Tahun 1999 tentang komisi nasional hak asasi manusia</w:t>
      </w:r>
      <w:r>
        <w:rPr>
          <w:sz w:val="24"/>
          <w:szCs w:val="24"/>
          <w:lang w:val="it-IT"/>
        </w:rPr>
        <w:t>.</w:t>
      </w:r>
    </w:p>
    <w:p w14:paraId="3BB6EF49" w14:textId="77777777" w:rsidR="0015505D" w:rsidRPr="0015505D" w:rsidRDefault="0015505D" w:rsidP="0015505D">
      <w:pPr>
        <w:spacing w:line="480" w:lineRule="auto"/>
        <w:ind w:left="720" w:hanging="578"/>
        <w:jc w:val="both"/>
        <w:rPr>
          <w:b/>
          <w:bCs/>
          <w:sz w:val="24"/>
          <w:szCs w:val="24"/>
        </w:rPr>
      </w:pPr>
    </w:p>
    <w:p w14:paraId="67AE51D8" w14:textId="77777777" w:rsidR="0015505D" w:rsidRDefault="0015505D" w:rsidP="00393C33">
      <w:pPr>
        <w:spacing w:line="360" w:lineRule="auto"/>
        <w:ind w:left="720" w:hanging="578"/>
        <w:jc w:val="both"/>
        <w:rPr>
          <w:sz w:val="24"/>
          <w:szCs w:val="24"/>
        </w:rPr>
      </w:pPr>
    </w:p>
    <w:p w14:paraId="380201DB" w14:textId="357DB754" w:rsidR="00393C33" w:rsidRDefault="00393C33" w:rsidP="00393C33">
      <w:pPr>
        <w:spacing w:line="360" w:lineRule="auto"/>
        <w:ind w:left="720" w:hanging="720"/>
        <w:jc w:val="both"/>
        <w:rPr>
          <w:b/>
          <w:bCs/>
          <w:sz w:val="24"/>
          <w:szCs w:val="24"/>
        </w:rPr>
      </w:pPr>
    </w:p>
    <w:p w14:paraId="32EED63A" w14:textId="77777777" w:rsidR="00393C33" w:rsidRDefault="00393C33" w:rsidP="00393C33">
      <w:pPr>
        <w:spacing w:line="360" w:lineRule="auto"/>
        <w:ind w:left="720" w:hanging="720"/>
        <w:jc w:val="both"/>
        <w:rPr>
          <w:b/>
          <w:bCs/>
          <w:sz w:val="24"/>
          <w:szCs w:val="24"/>
        </w:rPr>
      </w:pPr>
    </w:p>
    <w:p w14:paraId="08FF2FFC" w14:textId="12279FF6" w:rsidR="0076115E" w:rsidRDefault="0076115E">
      <w:pPr>
        <w:spacing w:before="80"/>
        <w:ind w:left="567" w:right="116" w:hanging="425"/>
        <w:jc w:val="both"/>
        <w:rPr>
          <w:sz w:val="24"/>
        </w:rPr>
      </w:pPr>
    </w:p>
    <w:sectPr w:rsidR="0076115E">
      <w:pgSz w:w="11910" w:h="16840"/>
      <w:pgMar w:top="1380" w:right="1320" w:bottom="980" w:left="1560" w:header="719" w:footer="788" w:gutter="0"/>
      <w:cols w:num="2" w:space="720" w:equalWidth="0">
        <w:col w:w="4462" w:space="246"/>
        <w:col w:w="45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55FF" w14:textId="77777777" w:rsidR="00C0559E" w:rsidRDefault="00C0559E">
      <w:r>
        <w:separator/>
      </w:r>
    </w:p>
  </w:endnote>
  <w:endnote w:type="continuationSeparator" w:id="0">
    <w:p w14:paraId="0AACE30F" w14:textId="77777777" w:rsidR="00C0559E" w:rsidRDefault="00C0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21CF" w14:textId="77777777" w:rsidR="0076115E" w:rsidRDefault="00537A16">
    <w:pPr>
      <w:pStyle w:val="TeksIsi"/>
      <w:spacing w:line="14" w:lineRule="auto"/>
      <w:ind w:left="0"/>
      <w:jc w:val="left"/>
      <w:rPr>
        <w:sz w:val="20"/>
      </w:rPr>
    </w:pPr>
    <w:r>
      <w:rPr>
        <w:noProof/>
      </w:rPr>
      <mc:AlternateContent>
        <mc:Choice Requires="wps">
          <w:drawing>
            <wp:anchor distT="0" distB="0" distL="0" distR="0" simplePos="0" relativeHeight="2" behindDoc="1" locked="0" layoutInCell="1" allowOverlap="1" wp14:anchorId="2C8CF641" wp14:editId="36CFDB01">
              <wp:simplePos x="0" y="0"/>
              <wp:positionH relativeFrom="page">
                <wp:posOffset>3666490</wp:posOffset>
              </wp:positionH>
              <wp:positionV relativeFrom="page">
                <wp:posOffset>10052685</wp:posOffset>
              </wp:positionV>
              <wp:extent cx="228600" cy="194309"/>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4309"/>
                      </a:xfrm>
                      <a:prstGeom prst="rect">
                        <a:avLst/>
                      </a:prstGeom>
                      <a:ln>
                        <a:noFill/>
                      </a:ln>
                    </wps:spPr>
                    <wps:txbx>
                      <w:txbxContent>
                        <w:p w14:paraId="5F118277" w14:textId="77777777" w:rsidR="0076115E" w:rsidRDefault="00537A16">
                          <w:pPr>
                            <w:pStyle w:val="TeksIsi"/>
                            <w:spacing w:before="10"/>
                            <w:ind w:left="60"/>
                            <w:jc w:val="left"/>
                          </w:pPr>
                          <w:r>
                            <w:fldChar w:fldCharType="begin"/>
                          </w:r>
                          <w:r>
                            <w:instrText xml:space="preserve"> PAGE </w:instrText>
                          </w:r>
                          <w:r>
                            <w:fldChar w:fldCharType="separate"/>
                          </w:r>
                          <w:r>
                            <w:t>10</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8CF641" id="Text Box 1" o:spid="_x0000_s1026" style="position:absolute;margin-left:288.7pt;margin-top:791.55pt;width:18pt;height:15.3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" filled="f" stroked="f">
              <v:textbox inset="0,0,0,0">
                <w:txbxContent>
                  <w:p w14:paraId="5F118277" w14:textId="77777777" w:rsidR="0076115E" w:rsidRDefault="00537A16">
                    <w:pPr>
                      <w:pStyle w:val="TeksIsi"/>
                      <w:spacing w:before="10"/>
                      <w:ind w:left="60"/>
                      <w:jc w:val="left"/>
                    </w:pPr>
                    <w:r>
                      <w:fldChar w:fldCharType="begin"/>
                    </w:r>
                    <w:r>
                      <w:instrText xml:space="preserve"> PAGE </w:instrText>
                    </w:r>
                    <w:r>
                      <w:fldChar w:fldCharType="separate"/>
                    </w:r>
                    <w:r>
                      <w:t>10</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FAB4" w14:textId="77777777" w:rsidR="00C0559E" w:rsidRDefault="00C0559E">
      <w:r>
        <w:separator/>
      </w:r>
    </w:p>
  </w:footnote>
  <w:footnote w:type="continuationSeparator" w:id="0">
    <w:p w14:paraId="754D7F25" w14:textId="77777777" w:rsidR="00C0559E" w:rsidRDefault="00C0559E">
      <w:r>
        <w:continuationSeparator/>
      </w:r>
    </w:p>
  </w:footnote>
  <w:footnote w:id="1">
    <w:p w14:paraId="303761FD" w14:textId="77777777" w:rsidR="00C00A50" w:rsidRDefault="00C00A50" w:rsidP="00C00A50">
      <w:pPr>
        <w:pStyle w:val="TeksCatatanKaki"/>
        <w:ind w:firstLine="720"/>
      </w:pPr>
      <w:r>
        <w:rPr>
          <w:rStyle w:val="ReferensiCatatanKaki"/>
        </w:rPr>
        <w:footnoteRef/>
      </w:r>
      <w:r>
        <w:t xml:space="preserve"> Undang-undang nomor 48 tahun 2009 tentang kekuasaan kehakiman </w:t>
      </w:r>
    </w:p>
  </w:footnote>
  <w:footnote w:id="2">
    <w:p w14:paraId="2814473B" w14:textId="77777777" w:rsidR="00FC6AC5" w:rsidRDefault="00FC6AC5" w:rsidP="00FC6AC5">
      <w:pPr>
        <w:pStyle w:val="TeksCatatanKaki"/>
        <w:ind w:firstLine="72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https://repository.unikom.ac.idMaterikekuasaan-kehakiman.pdf</w:t>
      </w:r>
    </w:p>
  </w:footnote>
  <w:footnote w:id="3">
    <w:p w14:paraId="2CFD5935" w14:textId="77777777" w:rsidR="00FC6AC5" w:rsidRPr="00F345DD" w:rsidRDefault="00FC6AC5" w:rsidP="00FC6AC5">
      <w:pPr>
        <w:pStyle w:val="TeksCatatanKaki"/>
        <w:ind w:firstLine="720"/>
        <w:rPr>
          <w:rFonts w:ascii="Times New Roman" w:hAnsi="Times New Roman" w:cs="Times New Roman"/>
          <w:lang w:val="de-DE"/>
        </w:rPr>
      </w:pPr>
      <w:r>
        <w:rPr>
          <w:rStyle w:val="ReferensiCatatanKaki"/>
          <w:rFonts w:ascii="Times New Roman" w:hAnsi="Times New Roman" w:cs="Times New Roman"/>
        </w:rPr>
        <w:footnoteRef/>
      </w:r>
      <w:r w:rsidRPr="00F345DD">
        <w:rPr>
          <w:rFonts w:ascii="Times New Roman" w:hAnsi="Times New Roman" w:cs="Times New Roman"/>
          <w:lang w:val="de-DE"/>
        </w:rPr>
        <w:t xml:space="preserve"> https://id.m.wikipedia.org/wiki/Kekuasaan kehakiman </w:t>
      </w:r>
    </w:p>
  </w:footnote>
  <w:footnote w:id="4">
    <w:p w14:paraId="0E5417A1" w14:textId="77777777" w:rsidR="00FC6AC5" w:rsidRPr="00F345DD" w:rsidRDefault="00FC6AC5" w:rsidP="00FC6AC5">
      <w:pPr>
        <w:pStyle w:val="TeksCatatanKaki"/>
        <w:ind w:firstLine="720"/>
        <w:rPr>
          <w:rFonts w:ascii="Times New Roman" w:hAnsi="Times New Roman" w:cs="Times New Roman"/>
          <w:lang w:val="de-DE"/>
        </w:rPr>
      </w:pPr>
      <w:r>
        <w:rPr>
          <w:rStyle w:val="ReferensiCatatanKaki"/>
          <w:rFonts w:ascii="Times New Roman" w:hAnsi="Times New Roman" w:cs="Times New Roman"/>
        </w:rPr>
        <w:footnoteRef/>
      </w:r>
      <w:r w:rsidRPr="00F345DD">
        <w:rPr>
          <w:rFonts w:ascii="Times New Roman" w:hAnsi="Times New Roman" w:cs="Times New Roman"/>
          <w:lang w:val="de-DE"/>
        </w:rPr>
        <w:t xml:space="preserve"> https://mh.uma.ac.id/apa-itu-kekuasaan-kehakiman/</w:t>
      </w:r>
    </w:p>
  </w:footnote>
  <w:footnote w:id="5">
    <w:p w14:paraId="4B1B3901" w14:textId="77777777" w:rsidR="00FC6AC5" w:rsidRPr="00F345DD" w:rsidRDefault="00FC6AC5" w:rsidP="00FC6AC5">
      <w:pPr>
        <w:pStyle w:val="TeksCatatanKaki"/>
        <w:ind w:firstLine="720"/>
        <w:rPr>
          <w:rFonts w:ascii="Times New Roman" w:hAnsi="Times New Roman" w:cs="Times New Roman"/>
          <w:lang w:val="it-IT"/>
        </w:rPr>
      </w:pPr>
      <w:r>
        <w:rPr>
          <w:rStyle w:val="ReferensiCatatanKaki"/>
          <w:rFonts w:ascii="Times New Roman" w:hAnsi="Times New Roman" w:cs="Times New Roman"/>
        </w:rPr>
        <w:footnoteRef/>
      </w:r>
      <w:r w:rsidRPr="00F345DD">
        <w:rPr>
          <w:rFonts w:ascii="Times New Roman" w:hAnsi="Times New Roman" w:cs="Times New Roman"/>
          <w:lang w:val="it-IT"/>
        </w:rPr>
        <w:t xml:space="preserve"> Wirjono Prodjodikoro, Asas-asas Hukum Pidana di Indonesia, Refika Aditama, Bandung, 2003,hlm.26-27.</w:t>
      </w:r>
    </w:p>
  </w:footnote>
  <w:footnote w:id="6">
    <w:p w14:paraId="6E66BA12" w14:textId="77777777" w:rsidR="00FC6AC5" w:rsidRPr="00F345DD" w:rsidRDefault="00FC6AC5" w:rsidP="00FC6AC5">
      <w:pPr>
        <w:pStyle w:val="TeksCatatanKaki"/>
        <w:ind w:firstLine="720"/>
        <w:rPr>
          <w:rFonts w:ascii="Times New Roman" w:hAnsi="Times New Roman" w:cs="Times New Roman"/>
          <w:lang w:val="it-IT"/>
        </w:rPr>
      </w:pPr>
      <w:r>
        <w:rPr>
          <w:rStyle w:val="ReferensiCatatanKaki"/>
          <w:rFonts w:ascii="Times New Roman" w:hAnsi="Times New Roman" w:cs="Times New Roman"/>
        </w:rPr>
        <w:footnoteRef/>
      </w:r>
      <w:r w:rsidRPr="00F345DD">
        <w:rPr>
          <w:rFonts w:ascii="Times New Roman" w:hAnsi="Times New Roman" w:cs="Times New Roman"/>
          <w:lang w:val="it-IT"/>
        </w:rPr>
        <w:t xml:space="preserve"> Muchsin, Kekuasaan Kehakiman yang Merdeka dan Kebijakan Asasi, STIH IBLAM, Jakarta, 2004,hlm. 20</w:t>
      </w:r>
    </w:p>
  </w:footnote>
  <w:footnote w:id="7">
    <w:p w14:paraId="75FD3527" w14:textId="77777777" w:rsidR="00FC6AC5" w:rsidRPr="00F345DD" w:rsidRDefault="00FC6AC5" w:rsidP="00FC6AC5">
      <w:pPr>
        <w:pStyle w:val="TeksCatatanKaki"/>
        <w:ind w:firstLine="720"/>
        <w:rPr>
          <w:rFonts w:ascii="Times New Roman" w:hAnsi="Times New Roman" w:cs="Times New Roman"/>
          <w:lang w:val="it-IT"/>
        </w:rPr>
      </w:pPr>
      <w:r>
        <w:rPr>
          <w:rStyle w:val="ReferensiCatatanKaki"/>
          <w:rFonts w:ascii="Times New Roman" w:hAnsi="Times New Roman" w:cs="Times New Roman"/>
        </w:rPr>
        <w:footnoteRef/>
      </w:r>
      <w:r w:rsidRPr="00F345DD">
        <w:rPr>
          <w:rFonts w:ascii="Times New Roman" w:hAnsi="Times New Roman" w:cs="Times New Roman"/>
          <w:lang w:val="it-IT"/>
        </w:rPr>
        <w:t xml:space="preserve"> Andi Hamzah, Asas-asas Hukum Pidana, Rineka Cipta, Bandung, 2008, hlm. 91</w:t>
      </w:r>
    </w:p>
  </w:footnote>
  <w:footnote w:id="8">
    <w:p w14:paraId="3B2EE90A" w14:textId="77777777" w:rsidR="00DD6812" w:rsidRPr="005C01BE" w:rsidRDefault="00DD6812" w:rsidP="00DD6812">
      <w:pPr>
        <w:pStyle w:val="TeksCatatanKaki"/>
        <w:ind w:firstLine="720"/>
        <w:rPr>
          <w:rFonts w:ascii="Times New Roman" w:hAnsi="Times New Roman" w:cs="Times New Roman"/>
          <w:lang w:val="de-DE"/>
        </w:rPr>
      </w:pPr>
      <w:r>
        <w:rPr>
          <w:rStyle w:val="ReferensiCatatanKaki"/>
        </w:rPr>
        <w:footnoteRef/>
      </w:r>
      <w:r w:rsidRPr="005C01BE">
        <w:rPr>
          <w:lang w:val="de-DE"/>
        </w:rPr>
        <w:t xml:space="preserve"> </w:t>
      </w:r>
      <w:r w:rsidRPr="005C01BE">
        <w:rPr>
          <w:rFonts w:ascii="Times New Roman" w:hAnsi="Times New Roman" w:cs="Times New Roman"/>
          <w:lang w:val="de-DE"/>
        </w:rPr>
        <w:t xml:space="preserve">Rechtsstaat adalah istilah yang digunakan oleh penganut sistem hukum eropa </w:t>
      </w:r>
    </w:p>
  </w:footnote>
  <w:footnote w:id="9">
    <w:p w14:paraId="11AEFB8E" w14:textId="77777777" w:rsidR="00DD6812" w:rsidRPr="005C01BE" w:rsidRDefault="00DD6812" w:rsidP="00DD6812">
      <w:pPr>
        <w:pStyle w:val="TeksCatatanKaki"/>
        <w:ind w:firstLine="720"/>
        <w:rPr>
          <w:rFonts w:ascii="Times New Roman" w:hAnsi="Times New Roman" w:cs="Times New Roman"/>
          <w:lang w:val="de-DE"/>
        </w:rPr>
      </w:pPr>
      <w:r>
        <w:rPr>
          <w:rStyle w:val="ReferensiCatatanKaki"/>
        </w:rPr>
        <w:footnoteRef/>
      </w:r>
      <w:r w:rsidRPr="005C01BE">
        <w:rPr>
          <w:lang w:val="de-DE"/>
        </w:rPr>
        <w:t xml:space="preserve"> </w:t>
      </w:r>
      <w:r w:rsidRPr="005C01BE">
        <w:rPr>
          <w:rFonts w:ascii="Times New Roman" w:hAnsi="Times New Roman" w:cs="Times New Roman"/>
          <w:lang w:val="de-DE"/>
        </w:rPr>
        <w:t xml:space="preserve">Antonius Sudirman, Hati Nurani Hakim dan Putusannya Suatu pendekatan dari </w:t>
      </w:r>
    </w:p>
    <w:p w14:paraId="00F51EAD" w14:textId="77777777" w:rsidR="00DD6812" w:rsidRPr="005C01BE" w:rsidRDefault="00DD6812" w:rsidP="00DD6812">
      <w:pPr>
        <w:pStyle w:val="TeksCatatanKaki"/>
        <w:rPr>
          <w:rFonts w:ascii="Times New Roman" w:hAnsi="Times New Roman" w:cs="Times New Roman"/>
          <w:lang w:val="de-DE"/>
        </w:rPr>
      </w:pPr>
      <w:r w:rsidRPr="005C01BE">
        <w:rPr>
          <w:rFonts w:ascii="Times New Roman" w:hAnsi="Times New Roman" w:cs="Times New Roman"/>
          <w:lang w:val="de-DE"/>
        </w:rPr>
        <w:t>Perspektif Ilmu Hukum Prilaku, Citra Aditya Bakti, Bandung, 2007, hlm.75.</w:t>
      </w:r>
    </w:p>
  </w:footnote>
  <w:footnote w:id="10">
    <w:p w14:paraId="7CF5EEC1" w14:textId="77777777" w:rsidR="00401082" w:rsidRPr="005C01BE" w:rsidRDefault="00401082" w:rsidP="00401082">
      <w:pPr>
        <w:pStyle w:val="TeksCatatanKaki"/>
        <w:ind w:firstLine="720"/>
        <w:rPr>
          <w:rFonts w:ascii="Times New Roman" w:hAnsi="Times New Roman" w:cs="Times New Roman"/>
          <w:lang w:val="de-DE"/>
        </w:rPr>
      </w:pPr>
      <w:r>
        <w:rPr>
          <w:rStyle w:val="ReferensiCatatanKaki"/>
        </w:rPr>
        <w:footnoteRef/>
      </w:r>
      <w:r w:rsidRPr="005C01BE">
        <w:rPr>
          <w:lang w:val="de-DE"/>
        </w:rPr>
        <w:t xml:space="preserve"> </w:t>
      </w:r>
      <w:r w:rsidRPr="005C01BE">
        <w:rPr>
          <w:rFonts w:ascii="Times New Roman" w:hAnsi="Times New Roman" w:cs="Times New Roman"/>
          <w:lang w:val="de-DE"/>
        </w:rPr>
        <w:t>http://lib.lemhannas.go.id/public/media/catalog/swf/4598/files/basic-html/page6.html</w:t>
      </w:r>
    </w:p>
  </w:footnote>
  <w:footnote w:id="11">
    <w:p w14:paraId="01D561DF" w14:textId="77777777" w:rsidR="00401082" w:rsidRPr="005C01BE" w:rsidRDefault="00401082" w:rsidP="00401082">
      <w:pPr>
        <w:pStyle w:val="TeksCatatanKaki"/>
        <w:ind w:firstLine="720"/>
        <w:rPr>
          <w:rFonts w:ascii="Times New Roman" w:hAnsi="Times New Roman" w:cs="Times New Roman"/>
          <w:lang w:val="de-DE"/>
        </w:rPr>
      </w:pPr>
      <w:r>
        <w:rPr>
          <w:rStyle w:val="ReferensiCatatanKaki"/>
        </w:rPr>
        <w:footnoteRef/>
      </w:r>
      <w:r w:rsidRPr="005C01BE">
        <w:rPr>
          <w:lang w:val="de-DE"/>
        </w:rPr>
        <w:t xml:space="preserve"> </w:t>
      </w:r>
      <w:r w:rsidRPr="005C01BE">
        <w:rPr>
          <w:rFonts w:ascii="Times New Roman" w:hAnsi="Times New Roman" w:cs="Times New Roman"/>
          <w:lang w:val="de-DE"/>
        </w:rPr>
        <w:t>Muhammad Tahir Azhary, Negara Hukum: Suatu Studi tentang Prinsip-prinsipnya dilihat dari Segi Hukum Islam, Implementasinya pada Periode Negara Madinah dan Masa Kini,(Jakarta: Bulan Bintang, 1992), hlm. 64.</w:t>
      </w:r>
    </w:p>
  </w:footnote>
  <w:footnote w:id="12">
    <w:p w14:paraId="3D650580" w14:textId="77777777" w:rsidR="00AC4900" w:rsidRPr="0028271D" w:rsidRDefault="00AC4900" w:rsidP="00AC4900">
      <w:pPr>
        <w:pStyle w:val="TeksCatatanKaki"/>
        <w:ind w:firstLine="720"/>
        <w:rPr>
          <w:rFonts w:ascii="Times New Roman" w:hAnsi="Times New Roman" w:cs="Times New Roman"/>
          <w:lang w:val="de-DE"/>
        </w:rPr>
      </w:pPr>
      <w:r>
        <w:rPr>
          <w:rStyle w:val="ReferensiCatatanKaki"/>
          <w:rFonts w:ascii="Times New Roman" w:hAnsi="Times New Roman" w:cs="Times New Roman"/>
        </w:rPr>
        <w:footnoteRef/>
      </w:r>
      <w:r w:rsidRPr="0028271D">
        <w:rPr>
          <w:rFonts w:ascii="Times New Roman" w:hAnsi="Times New Roman" w:cs="Times New Roman"/>
          <w:lang w:val="de-DE"/>
        </w:rPr>
        <w:t xml:space="preserve"> Moch.Ridwan,Evaluasi pembagian jenis subtansi hukumaras implementasi tugas dan fungsi Mahkamah Agung prenadamedia jakarta 2019 hal 2.</w:t>
      </w:r>
    </w:p>
  </w:footnote>
  <w:footnote w:id="13">
    <w:p w14:paraId="4C3FD306" w14:textId="77777777" w:rsidR="004F0CF3" w:rsidRPr="0028271D" w:rsidRDefault="004F0CF3" w:rsidP="004F0CF3">
      <w:pPr>
        <w:pStyle w:val="TeksCatatanKaki"/>
        <w:ind w:firstLine="720"/>
        <w:rPr>
          <w:rFonts w:ascii="Times New Roman" w:hAnsi="Times New Roman" w:cs="Times New Roman"/>
          <w:lang w:val="de-DE"/>
        </w:rPr>
      </w:pPr>
      <w:r>
        <w:rPr>
          <w:rStyle w:val="ReferensiCatatanKaki"/>
          <w:rFonts w:ascii="Times New Roman" w:hAnsi="Times New Roman" w:cs="Times New Roman"/>
        </w:rPr>
        <w:footnoteRef/>
      </w:r>
      <w:r w:rsidRPr="0028271D">
        <w:rPr>
          <w:rFonts w:ascii="Times New Roman" w:hAnsi="Times New Roman" w:cs="Times New Roman"/>
          <w:lang w:val="de-DE"/>
        </w:rPr>
        <w:t xml:space="preserve"> Titik Triwulan Tutik, Konstruksi Hukum Tata Negara Indonesia, </w:t>
      </w:r>
    </w:p>
    <w:p w14:paraId="478F63CC" w14:textId="77777777" w:rsidR="004F0CF3" w:rsidRPr="0028271D" w:rsidRDefault="004F0CF3" w:rsidP="004F0CF3">
      <w:pPr>
        <w:pStyle w:val="TeksCatatanKaki"/>
        <w:rPr>
          <w:rFonts w:ascii="Times New Roman" w:hAnsi="Times New Roman" w:cs="Times New Roman"/>
          <w:lang w:val="de-DE"/>
        </w:rPr>
      </w:pPr>
      <w:r w:rsidRPr="0028271D">
        <w:rPr>
          <w:rFonts w:ascii="Times New Roman" w:hAnsi="Times New Roman" w:cs="Times New Roman"/>
          <w:lang w:val="de-DE"/>
        </w:rPr>
        <w:t>(Jakarta: Kencana, 2010), h. 221.</w:t>
      </w:r>
    </w:p>
  </w:footnote>
  <w:footnote w:id="14">
    <w:p w14:paraId="62F4620C" w14:textId="77777777" w:rsidR="004F0CF3" w:rsidRPr="0028271D" w:rsidRDefault="004F0CF3" w:rsidP="004F0CF3">
      <w:pPr>
        <w:pStyle w:val="TeksCatatanKaki"/>
        <w:ind w:firstLine="720"/>
        <w:rPr>
          <w:rFonts w:ascii="Times New Roman" w:hAnsi="Times New Roman" w:cs="Times New Roman"/>
          <w:lang w:val="de-DE"/>
        </w:rPr>
      </w:pPr>
      <w:r>
        <w:rPr>
          <w:rStyle w:val="ReferensiCatatanKaki"/>
          <w:rFonts w:ascii="Times New Roman" w:hAnsi="Times New Roman" w:cs="Times New Roman"/>
        </w:rPr>
        <w:footnoteRef/>
      </w:r>
      <w:r w:rsidRPr="0028271D">
        <w:rPr>
          <w:rFonts w:ascii="Times New Roman" w:hAnsi="Times New Roman" w:cs="Times New Roman"/>
          <w:lang w:val="de-DE"/>
        </w:rPr>
        <w:t xml:space="preserve"> Jimly Assiddiqie, Pokok-pokok Hukum Tata Negara Pasca Reformasi, (Jakarta: Buana Ilmu Popular, 2007), hlm. 581.</w:t>
      </w:r>
    </w:p>
  </w:footnote>
  <w:footnote w:id="15">
    <w:p w14:paraId="54625780" w14:textId="77777777" w:rsidR="004F0CF3" w:rsidRPr="0028271D" w:rsidRDefault="004F0CF3" w:rsidP="004F0CF3">
      <w:pPr>
        <w:pStyle w:val="TeksCatatanKaki"/>
        <w:ind w:firstLine="720"/>
        <w:rPr>
          <w:rFonts w:ascii="Times New Roman" w:hAnsi="Times New Roman" w:cs="Times New Roman"/>
          <w:lang w:val="de-DE"/>
        </w:rPr>
      </w:pPr>
      <w:r>
        <w:rPr>
          <w:rStyle w:val="ReferensiCatatanKaki"/>
        </w:rPr>
        <w:footnoteRef/>
      </w:r>
      <w:r w:rsidRPr="0028271D">
        <w:rPr>
          <w:lang w:val="de-DE"/>
        </w:rPr>
        <w:t xml:space="preserve"> </w:t>
      </w:r>
      <w:r w:rsidRPr="0028271D">
        <w:rPr>
          <w:rFonts w:ascii="Times New Roman" w:hAnsi="Times New Roman" w:cs="Times New Roman"/>
          <w:lang w:val="de-DE"/>
        </w:rPr>
        <w:t xml:space="preserve">Achmad fauzan, Perundang-undangan Lengkap Tentang Peradilan </w:t>
      </w:r>
    </w:p>
    <w:p w14:paraId="5BC3ADFA" w14:textId="77777777" w:rsidR="004F0CF3" w:rsidRPr="0028271D" w:rsidRDefault="004F0CF3" w:rsidP="004F0CF3">
      <w:pPr>
        <w:pStyle w:val="TeksCatatanKaki"/>
        <w:rPr>
          <w:rFonts w:ascii="Times New Roman" w:hAnsi="Times New Roman" w:cs="Times New Roman"/>
          <w:lang w:val="de-DE"/>
        </w:rPr>
      </w:pPr>
      <w:r w:rsidRPr="0028271D">
        <w:rPr>
          <w:rFonts w:ascii="Times New Roman" w:hAnsi="Times New Roman" w:cs="Times New Roman"/>
          <w:lang w:val="de-DE"/>
        </w:rPr>
        <w:t xml:space="preserve">Umum, Peradilan Khusus, dan Mahkmah Konstitusi, (Jakarta: Kencana, 2009), </w:t>
      </w:r>
    </w:p>
    <w:p w14:paraId="7CF63FE9" w14:textId="77777777" w:rsidR="004F0CF3" w:rsidRPr="0028271D" w:rsidRDefault="004F0CF3" w:rsidP="004F0CF3">
      <w:pPr>
        <w:pStyle w:val="TeksCatatanKaki"/>
        <w:rPr>
          <w:rFonts w:ascii="Times New Roman" w:hAnsi="Times New Roman" w:cs="Times New Roman"/>
          <w:lang w:val="sv-SE"/>
        </w:rPr>
      </w:pPr>
      <w:r w:rsidRPr="0028271D">
        <w:rPr>
          <w:rFonts w:ascii="Times New Roman" w:hAnsi="Times New Roman" w:cs="Times New Roman"/>
          <w:lang w:val="sv-SE"/>
        </w:rPr>
        <w:t>h. 432</w:t>
      </w:r>
    </w:p>
  </w:footnote>
  <w:footnote w:id="16">
    <w:p w14:paraId="77ABCCBA" w14:textId="77777777" w:rsidR="004F0CF3" w:rsidRPr="0028271D" w:rsidRDefault="004F0CF3" w:rsidP="004F0CF3">
      <w:pPr>
        <w:pStyle w:val="TeksCatatanKaki"/>
        <w:ind w:firstLine="720"/>
        <w:rPr>
          <w:rFonts w:ascii="Times New Roman" w:hAnsi="Times New Roman" w:cs="Times New Roman"/>
          <w:lang w:val="sv-SE"/>
        </w:rPr>
      </w:pPr>
      <w:r>
        <w:rPr>
          <w:rStyle w:val="ReferensiCatatanKaki"/>
          <w:rFonts w:ascii="Times New Roman" w:hAnsi="Times New Roman" w:cs="Times New Roman"/>
        </w:rPr>
        <w:footnoteRef/>
      </w:r>
      <w:r w:rsidRPr="0028271D">
        <w:rPr>
          <w:rFonts w:ascii="Times New Roman" w:hAnsi="Times New Roman" w:cs="Times New Roman"/>
          <w:lang w:val="sv-SE"/>
        </w:rPr>
        <w:t xml:space="preserve"> Faiz Elza, M. Muslih, Sahlul,  Ikhsan Azhar, Zaid Mushaf, Abdul Razaq, Risalah komisi yudisial  UU No. 22 Tahun 2004 tentang Komisi Yudisial Jakarta, hal.190.</w:t>
      </w:r>
    </w:p>
  </w:footnote>
  <w:footnote w:id="17">
    <w:p w14:paraId="4E8F9628" w14:textId="77777777" w:rsidR="00860147" w:rsidRDefault="00860147" w:rsidP="00860147">
      <w:pPr>
        <w:pStyle w:val="TeksCatatanKaki"/>
        <w:ind w:firstLine="720"/>
      </w:pPr>
      <w:r>
        <w:rPr>
          <w:rStyle w:val="ReferensiCatatanKaki"/>
        </w:rPr>
        <w:footnoteRef/>
      </w:r>
      <w:r>
        <w:t xml:space="preserve"> Online Etymology Dictionary, https://www.etymonline.com/word/amicus curiae:text=From Latin amicus friend court (see curia).</w:t>
      </w:r>
    </w:p>
  </w:footnote>
  <w:footnote w:id="18">
    <w:p w14:paraId="758060B5" w14:textId="77777777" w:rsidR="00860147" w:rsidRDefault="00860147" w:rsidP="00860147">
      <w:pPr>
        <w:pStyle w:val="TeksCatatanKaki"/>
        <w:ind w:firstLine="72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Steven Kochevar, Amici Curiae in Civil Law Jurisdictions, (Vol.122, No.6, The Yale Law Journal, April 2013, hlm.1).</w:t>
      </w:r>
    </w:p>
  </w:footnote>
  <w:footnote w:id="19">
    <w:p w14:paraId="590AFA56" w14:textId="77777777" w:rsidR="00860147" w:rsidRDefault="00860147" w:rsidP="00860147">
      <w:pPr>
        <w:pStyle w:val="TeksCatatanKaki"/>
        <w:ind w:firstLine="720"/>
      </w:pPr>
      <w:r>
        <w:rPr>
          <w:rStyle w:val="ReferensiCatatanKaki"/>
        </w:rPr>
        <w:footnoteRef/>
      </w:r>
      <w:r>
        <w:t xml:space="preserve"> </w:t>
      </w:r>
      <w:r>
        <w:rPr>
          <w:rFonts w:ascii="Times New Roman" w:hAnsi="Times New Roman" w:cs="Times New Roman"/>
        </w:rPr>
        <w:t>Purwantono rivan ahmad,sulaiman n.sembiring amicus curiae konsep,praktik,dan tantangan penerapannya di indonesia</w:t>
      </w:r>
    </w:p>
  </w:footnote>
  <w:footnote w:id="20">
    <w:p w14:paraId="15329561" w14:textId="77777777" w:rsidR="00860147" w:rsidRDefault="00860147" w:rsidP="00860147">
      <w:pPr>
        <w:pStyle w:val="TeksCatatanKaki"/>
        <w:ind w:firstLine="72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Johnstone Quintin, "The Role of Amicus Curiae in International Courts and Tribunals", (Vol. 64, No.3, Netherlands International Law Review, 2017, pp. 373-395).</w:t>
      </w:r>
    </w:p>
  </w:footnote>
  <w:footnote w:id="21">
    <w:p w14:paraId="0A6B4E95" w14:textId="77777777" w:rsidR="00831CBE" w:rsidRDefault="00831CBE" w:rsidP="00831CBE">
      <w:pPr>
        <w:pStyle w:val="TeksCatatanKaki"/>
        <w:ind w:firstLine="72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Steven Kochevar, Amici Curiae in Civil Law Jurisdictions, (Vol.122, No.6, The Yale Law Journal, April 20 </w:t>
      </w:r>
    </w:p>
  </w:footnote>
  <w:footnote w:id="22">
    <w:p w14:paraId="51B25836" w14:textId="77777777" w:rsidR="00831CBE" w:rsidRDefault="00831CBE" w:rsidP="00831CBE">
      <w:pPr>
        <w:pStyle w:val="TeksCatatanKaki"/>
        <w:ind w:firstLine="72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Hidayat, Nur. "</w:t>
      </w:r>
      <w:r>
        <w:rPr>
          <w:rFonts w:ascii="Times New Roman" w:hAnsi="Times New Roman" w:cs="Times New Roman"/>
          <w:i/>
          <w:iCs/>
        </w:rPr>
        <w:t>Rujukan Dan Aplikasi Sistem Hukum Indonesia Berdasarkan Pasal 1 Ayat (3) UUD 1945 Pasca Amandemen Ketiga</w:t>
      </w:r>
      <w:r>
        <w:rPr>
          <w:rFonts w:ascii="Times New Roman" w:hAnsi="Times New Roman" w:cs="Times New Roman"/>
        </w:rPr>
        <w:t>." UIR Law Review 1.2 (2017): 191-200.</w:t>
      </w:r>
    </w:p>
  </w:footnote>
  <w:footnote w:id="23">
    <w:p w14:paraId="41EEDE4B" w14:textId="77777777" w:rsidR="00831CBE" w:rsidRDefault="00831CBE" w:rsidP="00831CBE">
      <w:pPr>
        <w:pStyle w:val="TeksCatatanKaki"/>
        <w:ind w:firstLine="720"/>
        <w:rPr>
          <w:rFonts w:ascii="Times New Roman" w:hAnsi="Times New Roman" w:cs="Times New Roman"/>
        </w:rPr>
      </w:pPr>
      <w:r>
        <w:rPr>
          <w:rStyle w:val="ReferensiCatatanKaki"/>
        </w:rPr>
        <w:footnoteRef/>
      </w:r>
      <w:r>
        <w:t xml:space="preserve"> </w:t>
      </w:r>
      <w:r>
        <w:rPr>
          <w:rFonts w:ascii="Times New Roman" w:hAnsi="Times New Roman" w:cs="Times New Roman"/>
        </w:rPr>
        <w:t>https://nasional.kompas.com/read/2023/02/14/01000001/contoh-amicus.</w:t>
      </w:r>
    </w:p>
  </w:footnote>
  <w:footnote w:id="24">
    <w:p w14:paraId="03D2B273" w14:textId="77777777" w:rsidR="00831CBE" w:rsidRPr="005137E6" w:rsidRDefault="00831CBE" w:rsidP="00831CBE">
      <w:pPr>
        <w:pStyle w:val="TeksCatatanKaki"/>
        <w:ind w:firstLine="720"/>
        <w:rPr>
          <w:lang w:val="it-IT"/>
        </w:rPr>
      </w:pPr>
      <w:r>
        <w:rPr>
          <w:rStyle w:val="ReferensiCatatanKaki"/>
        </w:rPr>
        <w:footnoteRef/>
      </w:r>
      <w:r w:rsidRPr="005137E6">
        <w:rPr>
          <w:lang w:val="it-IT"/>
        </w:rPr>
        <w:t xml:space="preserve"> </w:t>
      </w:r>
      <w:r w:rsidRPr="005137E6">
        <w:rPr>
          <w:rFonts w:ascii="Times New Roman" w:hAnsi="Times New Roman" w:cs="Times New Roman"/>
          <w:lang w:val="it-IT"/>
        </w:rPr>
        <w:t>https://nasional.kompas.com/read/2023/02/14/01000001/contoh-amicus curiae-dalam-berbagai-kasus-di-indonesia?page=all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8A05" w14:textId="77777777" w:rsidR="0076115E" w:rsidRDefault="00537A16">
    <w:pPr>
      <w:pStyle w:val="Header"/>
      <w:widowControl/>
      <w:tabs>
        <w:tab w:val="clear" w:pos="4680"/>
        <w:tab w:val="clear" w:pos="9360"/>
      </w:tabs>
      <w:autoSpaceDE/>
      <w:autoSpaceDN/>
      <w:ind w:left="720"/>
      <w:jc w:val="right"/>
      <w:rPr>
        <w:rFonts w:ascii="Brush Script MT" w:hAnsi="Brush Script MT"/>
        <w:i/>
        <w:sz w:val="32"/>
        <w:szCs w:val="32"/>
      </w:rPr>
    </w:pPr>
    <w:r>
      <w:rPr>
        <w:rFonts w:ascii="Brush Script MT" w:hAnsi="Brush Script MT"/>
        <w:i/>
        <w:w w:val="75"/>
        <w:sz w:val="32"/>
        <w:szCs w:val="32"/>
      </w:rPr>
      <w:t>Jurnal</w:t>
    </w:r>
    <w:r>
      <w:rPr>
        <w:rFonts w:ascii="Brush Script MT" w:hAnsi="Brush Script MT"/>
        <w:i/>
        <w:spacing w:val="36"/>
        <w:w w:val="75"/>
        <w:sz w:val="32"/>
        <w:szCs w:val="32"/>
      </w:rPr>
      <w:t xml:space="preserve"> </w:t>
    </w:r>
    <w:r>
      <w:rPr>
        <w:rFonts w:ascii="Brush Script MT" w:hAnsi="Brush Script MT"/>
        <w:i/>
        <w:w w:val="75"/>
        <w:sz w:val="32"/>
        <w:szCs w:val="32"/>
      </w:rPr>
      <w:t>Judiciary</w:t>
    </w:r>
  </w:p>
  <w:p w14:paraId="42BFB43D" w14:textId="77777777" w:rsidR="0076115E" w:rsidRDefault="00537A16">
    <w:pPr>
      <w:spacing w:before="24"/>
      <w:ind w:left="20"/>
      <w:jc w:val="right"/>
      <w:rPr>
        <w:sz w:val="20"/>
      </w:rPr>
    </w:pPr>
    <w:r>
      <w:rPr>
        <w:sz w:val="20"/>
      </w:rPr>
      <w:t>Vol.</w:t>
    </w:r>
    <w:r>
      <w:rPr>
        <w:spacing w:val="-2"/>
        <w:sz w:val="20"/>
      </w:rPr>
      <w:t xml:space="preserve"> </w:t>
    </w:r>
    <w:r>
      <w:rPr>
        <w:sz w:val="20"/>
      </w:rPr>
      <w:t>9 No. 1</w:t>
    </w:r>
    <w:r>
      <w:rPr>
        <w:spacing w:val="-1"/>
        <w:sz w:val="20"/>
      </w:rPr>
      <w:t xml:space="preserve"> </w:t>
    </w:r>
    <w:r>
      <w:rPr>
        <w:sz w:val="20"/>
      </w:rPr>
      <w:t>- Tahun</w:t>
    </w:r>
    <w:r>
      <w:rPr>
        <w:spacing w:val="-1"/>
        <w:sz w:val="20"/>
      </w:rPr>
      <w:t xml:space="preserve"> </w:t>
    </w:r>
    <w:r>
      <w:rPr>
        <w:sz w:val="20"/>
      </w:rPr>
      <w:t>2020</w:t>
    </w:r>
  </w:p>
  <w:p w14:paraId="4F725A81" w14:textId="77777777" w:rsidR="0076115E" w:rsidRDefault="0076115E">
    <w:pPr>
      <w:pStyle w:val="TeksIsi"/>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8461D86"/>
    <w:lvl w:ilvl="0" w:tplc="0FA0CF0E">
      <w:start w:val="1"/>
      <w:numFmt w:val="lowerLetter"/>
      <w:lvlText w:val="%1."/>
      <w:lvlJc w:val="left"/>
      <w:pPr>
        <w:ind w:left="2315" w:hanging="360"/>
      </w:pPr>
      <w:rPr>
        <w:rFonts w:ascii="Times New Roman" w:eastAsia="Times New Roman" w:hAnsi="Times New Roman" w:cs="Times New Roman" w:hint="default"/>
        <w:w w:val="100"/>
        <w:sz w:val="24"/>
        <w:szCs w:val="24"/>
        <w:lang w:eastAsia="en-US" w:bidi="ar-SA"/>
      </w:rPr>
    </w:lvl>
    <w:lvl w:ilvl="1" w:tplc="CF1CF54E">
      <w:start w:val="1"/>
      <w:numFmt w:val="bullet"/>
      <w:lvlText w:val="•"/>
      <w:lvlJc w:val="left"/>
      <w:pPr>
        <w:ind w:left="2643" w:hanging="360"/>
      </w:pPr>
      <w:rPr>
        <w:rFonts w:hint="default"/>
        <w:lang w:eastAsia="en-US" w:bidi="ar-SA"/>
      </w:rPr>
    </w:lvl>
    <w:lvl w:ilvl="2" w:tplc="68E6D222">
      <w:start w:val="1"/>
      <w:numFmt w:val="bullet"/>
      <w:lvlText w:val="•"/>
      <w:lvlJc w:val="left"/>
      <w:pPr>
        <w:ind w:left="2971" w:hanging="360"/>
      </w:pPr>
      <w:rPr>
        <w:rFonts w:hint="default"/>
        <w:lang w:eastAsia="en-US" w:bidi="ar-SA"/>
      </w:rPr>
    </w:lvl>
    <w:lvl w:ilvl="3" w:tplc="EA1A9D9E">
      <w:start w:val="1"/>
      <w:numFmt w:val="bullet"/>
      <w:lvlText w:val="•"/>
      <w:lvlJc w:val="left"/>
      <w:pPr>
        <w:ind w:left="3299" w:hanging="360"/>
      </w:pPr>
      <w:rPr>
        <w:rFonts w:hint="default"/>
        <w:lang w:eastAsia="en-US" w:bidi="ar-SA"/>
      </w:rPr>
    </w:lvl>
    <w:lvl w:ilvl="4" w:tplc="5E044782">
      <w:start w:val="1"/>
      <w:numFmt w:val="bullet"/>
      <w:lvlText w:val="•"/>
      <w:lvlJc w:val="left"/>
      <w:pPr>
        <w:ind w:left="3627" w:hanging="360"/>
      </w:pPr>
      <w:rPr>
        <w:rFonts w:hint="default"/>
        <w:lang w:eastAsia="en-US" w:bidi="ar-SA"/>
      </w:rPr>
    </w:lvl>
    <w:lvl w:ilvl="5" w:tplc="BA42F168">
      <w:start w:val="1"/>
      <w:numFmt w:val="bullet"/>
      <w:lvlText w:val="•"/>
      <w:lvlJc w:val="left"/>
      <w:pPr>
        <w:ind w:left="3955" w:hanging="360"/>
      </w:pPr>
      <w:rPr>
        <w:rFonts w:hint="default"/>
        <w:lang w:eastAsia="en-US" w:bidi="ar-SA"/>
      </w:rPr>
    </w:lvl>
    <w:lvl w:ilvl="6" w:tplc="D2BAD3D8">
      <w:start w:val="1"/>
      <w:numFmt w:val="bullet"/>
      <w:lvlText w:val="•"/>
      <w:lvlJc w:val="left"/>
      <w:pPr>
        <w:ind w:left="4283" w:hanging="360"/>
      </w:pPr>
      <w:rPr>
        <w:rFonts w:hint="default"/>
        <w:lang w:eastAsia="en-US" w:bidi="ar-SA"/>
      </w:rPr>
    </w:lvl>
    <w:lvl w:ilvl="7" w:tplc="B85E715A">
      <w:start w:val="1"/>
      <w:numFmt w:val="bullet"/>
      <w:lvlText w:val="•"/>
      <w:lvlJc w:val="left"/>
      <w:pPr>
        <w:ind w:left="4612" w:hanging="360"/>
      </w:pPr>
      <w:rPr>
        <w:rFonts w:hint="default"/>
        <w:lang w:eastAsia="en-US" w:bidi="ar-SA"/>
      </w:rPr>
    </w:lvl>
    <w:lvl w:ilvl="8" w:tplc="1C2E5526">
      <w:start w:val="1"/>
      <w:numFmt w:val="bullet"/>
      <w:lvlText w:val="•"/>
      <w:lvlJc w:val="left"/>
      <w:pPr>
        <w:ind w:left="4940" w:hanging="360"/>
      </w:pPr>
      <w:rPr>
        <w:rFonts w:hint="default"/>
        <w:lang w:eastAsia="en-US" w:bidi="ar-SA"/>
      </w:rPr>
    </w:lvl>
  </w:abstractNum>
  <w:abstractNum w:abstractNumId="1" w15:restartNumberingAfterBreak="0">
    <w:nsid w:val="00000002"/>
    <w:multiLevelType w:val="hybridMultilevel"/>
    <w:tmpl w:val="E83E32AA"/>
    <w:lvl w:ilvl="0" w:tplc="0630C9D0">
      <w:start w:val="1"/>
      <w:numFmt w:val="decimal"/>
      <w:lvlText w:val="%1."/>
      <w:lvlJc w:val="left"/>
      <w:pPr>
        <w:ind w:left="460" w:hanging="361"/>
      </w:pPr>
      <w:rPr>
        <w:rFonts w:ascii="Times New Roman" w:eastAsia="Times New Roman" w:hAnsi="Times New Roman" w:cs="Times New Roman" w:hint="default"/>
        <w:b/>
        <w:bCs/>
        <w:spacing w:val="-1"/>
        <w:w w:val="116"/>
        <w:sz w:val="24"/>
        <w:szCs w:val="24"/>
        <w:lang w:eastAsia="en-US" w:bidi="ar-SA"/>
      </w:rPr>
    </w:lvl>
    <w:lvl w:ilvl="1" w:tplc="E46EE7CA">
      <w:start w:val="1"/>
      <w:numFmt w:val="lowerLetter"/>
      <w:lvlText w:val="%2."/>
      <w:lvlJc w:val="left"/>
      <w:pPr>
        <w:ind w:left="820" w:hanging="360"/>
      </w:pPr>
      <w:rPr>
        <w:rFonts w:ascii="Times New Roman" w:eastAsia="Times New Roman" w:hAnsi="Times New Roman" w:cs="Times New Roman" w:hint="default"/>
        <w:w w:val="100"/>
        <w:sz w:val="24"/>
        <w:szCs w:val="24"/>
        <w:lang w:eastAsia="en-US" w:bidi="ar-SA"/>
      </w:rPr>
    </w:lvl>
    <w:lvl w:ilvl="2" w:tplc="E77C3B4E">
      <w:start w:val="1"/>
      <w:numFmt w:val="bullet"/>
      <w:lvlText w:val="•"/>
      <w:lvlJc w:val="left"/>
      <w:pPr>
        <w:ind w:left="661" w:hanging="360"/>
      </w:pPr>
      <w:rPr>
        <w:rFonts w:hint="default"/>
        <w:lang w:eastAsia="en-US" w:bidi="ar-SA"/>
      </w:rPr>
    </w:lvl>
    <w:lvl w:ilvl="3" w:tplc="A0D82BAE">
      <w:start w:val="1"/>
      <w:numFmt w:val="bullet"/>
      <w:lvlText w:val="•"/>
      <w:lvlJc w:val="left"/>
      <w:pPr>
        <w:ind w:left="503" w:hanging="360"/>
      </w:pPr>
      <w:rPr>
        <w:rFonts w:hint="default"/>
        <w:lang w:eastAsia="en-US" w:bidi="ar-SA"/>
      </w:rPr>
    </w:lvl>
    <w:lvl w:ilvl="4" w:tplc="1862CE2C">
      <w:start w:val="1"/>
      <w:numFmt w:val="bullet"/>
      <w:lvlText w:val="•"/>
      <w:lvlJc w:val="left"/>
      <w:pPr>
        <w:ind w:left="344" w:hanging="360"/>
      </w:pPr>
      <w:rPr>
        <w:rFonts w:hint="default"/>
        <w:lang w:eastAsia="en-US" w:bidi="ar-SA"/>
      </w:rPr>
    </w:lvl>
    <w:lvl w:ilvl="5" w:tplc="01EE7B12">
      <w:start w:val="1"/>
      <w:numFmt w:val="bullet"/>
      <w:lvlText w:val="•"/>
      <w:lvlJc w:val="left"/>
      <w:pPr>
        <w:ind w:left="186" w:hanging="360"/>
      </w:pPr>
      <w:rPr>
        <w:rFonts w:hint="default"/>
        <w:lang w:eastAsia="en-US" w:bidi="ar-SA"/>
      </w:rPr>
    </w:lvl>
    <w:lvl w:ilvl="6" w:tplc="E9FCF4E6">
      <w:start w:val="1"/>
      <w:numFmt w:val="bullet"/>
      <w:lvlText w:val="•"/>
      <w:lvlJc w:val="left"/>
      <w:pPr>
        <w:ind w:left="27" w:hanging="360"/>
      </w:pPr>
      <w:rPr>
        <w:rFonts w:hint="default"/>
        <w:lang w:eastAsia="en-US" w:bidi="ar-SA"/>
      </w:rPr>
    </w:lvl>
    <w:lvl w:ilvl="7" w:tplc="9C969178">
      <w:start w:val="1"/>
      <w:numFmt w:val="bullet"/>
      <w:lvlText w:val="•"/>
      <w:lvlJc w:val="left"/>
      <w:pPr>
        <w:ind w:left="-131" w:hanging="360"/>
      </w:pPr>
      <w:rPr>
        <w:rFonts w:hint="default"/>
        <w:lang w:eastAsia="en-US" w:bidi="ar-SA"/>
      </w:rPr>
    </w:lvl>
    <w:lvl w:ilvl="8" w:tplc="10C24E4E">
      <w:start w:val="1"/>
      <w:numFmt w:val="bullet"/>
      <w:lvlText w:val="•"/>
      <w:lvlJc w:val="left"/>
      <w:pPr>
        <w:ind w:left="-290" w:hanging="360"/>
      </w:pPr>
      <w:rPr>
        <w:rFonts w:hint="default"/>
        <w:lang w:eastAsia="en-US" w:bidi="ar-SA"/>
      </w:rPr>
    </w:lvl>
  </w:abstractNum>
  <w:abstractNum w:abstractNumId="2" w15:restartNumberingAfterBreak="0">
    <w:nsid w:val="00000003"/>
    <w:multiLevelType w:val="hybridMultilevel"/>
    <w:tmpl w:val="048497A4"/>
    <w:lvl w:ilvl="0" w:tplc="FF62E386">
      <w:start w:val="1"/>
      <w:numFmt w:val="lowerLetter"/>
      <w:lvlText w:val="%1."/>
      <w:lvlJc w:val="left"/>
      <w:pPr>
        <w:ind w:left="460" w:hanging="360"/>
      </w:pPr>
      <w:rPr>
        <w:rFonts w:ascii="Times New Roman" w:eastAsia="Times New Roman" w:hAnsi="Times New Roman" w:cs="Times New Roman" w:hint="default"/>
        <w:w w:val="100"/>
        <w:sz w:val="24"/>
        <w:szCs w:val="24"/>
        <w:lang w:eastAsia="en-US" w:bidi="ar-SA"/>
      </w:rPr>
    </w:lvl>
    <w:lvl w:ilvl="1" w:tplc="29A86184">
      <w:start w:val="1"/>
      <w:numFmt w:val="decimal"/>
      <w:lvlText w:val="%2)"/>
      <w:lvlJc w:val="left"/>
      <w:pPr>
        <w:ind w:left="820" w:hanging="360"/>
      </w:pPr>
      <w:rPr>
        <w:rFonts w:ascii="Times New Roman" w:eastAsia="Times New Roman" w:hAnsi="Times New Roman" w:cs="Times New Roman" w:hint="default"/>
        <w:w w:val="99"/>
        <w:sz w:val="24"/>
        <w:szCs w:val="24"/>
        <w:lang w:eastAsia="en-US" w:bidi="ar-SA"/>
      </w:rPr>
    </w:lvl>
    <w:lvl w:ilvl="2" w:tplc="5E38FECE">
      <w:start w:val="1"/>
      <w:numFmt w:val="bullet"/>
      <w:lvlText w:val="•"/>
      <w:lvlJc w:val="left"/>
      <w:pPr>
        <w:ind w:left="701" w:hanging="360"/>
      </w:pPr>
      <w:rPr>
        <w:rFonts w:hint="default"/>
        <w:lang w:eastAsia="en-US" w:bidi="ar-SA"/>
      </w:rPr>
    </w:lvl>
    <w:lvl w:ilvl="3" w:tplc="EB2A2B10">
      <w:start w:val="1"/>
      <w:numFmt w:val="bullet"/>
      <w:lvlText w:val="•"/>
      <w:lvlJc w:val="left"/>
      <w:pPr>
        <w:ind w:left="582" w:hanging="360"/>
      </w:pPr>
      <w:rPr>
        <w:rFonts w:hint="default"/>
        <w:lang w:eastAsia="en-US" w:bidi="ar-SA"/>
      </w:rPr>
    </w:lvl>
    <w:lvl w:ilvl="4" w:tplc="5E149CF2">
      <w:start w:val="1"/>
      <w:numFmt w:val="bullet"/>
      <w:lvlText w:val="•"/>
      <w:lvlJc w:val="left"/>
      <w:pPr>
        <w:ind w:left="464" w:hanging="360"/>
      </w:pPr>
      <w:rPr>
        <w:rFonts w:hint="default"/>
        <w:lang w:eastAsia="en-US" w:bidi="ar-SA"/>
      </w:rPr>
    </w:lvl>
    <w:lvl w:ilvl="5" w:tplc="6D90B99C">
      <w:start w:val="1"/>
      <w:numFmt w:val="bullet"/>
      <w:lvlText w:val="•"/>
      <w:lvlJc w:val="left"/>
      <w:pPr>
        <w:ind w:left="345" w:hanging="360"/>
      </w:pPr>
      <w:rPr>
        <w:rFonts w:hint="default"/>
        <w:lang w:eastAsia="en-US" w:bidi="ar-SA"/>
      </w:rPr>
    </w:lvl>
    <w:lvl w:ilvl="6" w:tplc="2C5634BE">
      <w:start w:val="1"/>
      <w:numFmt w:val="bullet"/>
      <w:lvlText w:val="•"/>
      <w:lvlJc w:val="left"/>
      <w:pPr>
        <w:ind w:left="227" w:hanging="360"/>
      </w:pPr>
      <w:rPr>
        <w:rFonts w:hint="default"/>
        <w:lang w:eastAsia="en-US" w:bidi="ar-SA"/>
      </w:rPr>
    </w:lvl>
    <w:lvl w:ilvl="7" w:tplc="C17C5510">
      <w:start w:val="1"/>
      <w:numFmt w:val="bullet"/>
      <w:lvlText w:val="•"/>
      <w:lvlJc w:val="left"/>
      <w:pPr>
        <w:ind w:left="108" w:hanging="360"/>
      </w:pPr>
      <w:rPr>
        <w:rFonts w:hint="default"/>
        <w:lang w:eastAsia="en-US" w:bidi="ar-SA"/>
      </w:rPr>
    </w:lvl>
    <w:lvl w:ilvl="8" w:tplc="BE9E5598">
      <w:start w:val="1"/>
      <w:numFmt w:val="bullet"/>
      <w:lvlText w:val="•"/>
      <w:lvlJc w:val="left"/>
      <w:pPr>
        <w:ind w:left="-10" w:hanging="360"/>
      </w:pPr>
      <w:rPr>
        <w:rFonts w:hint="default"/>
        <w:lang w:eastAsia="en-US" w:bidi="ar-SA"/>
      </w:rPr>
    </w:lvl>
  </w:abstractNum>
  <w:abstractNum w:abstractNumId="3" w15:restartNumberingAfterBreak="0">
    <w:nsid w:val="00000004"/>
    <w:multiLevelType w:val="hybridMultilevel"/>
    <w:tmpl w:val="52F27D40"/>
    <w:lvl w:ilvl="0" w:tplc="6960237E">
      <w:start w:val="1"/>
      <w:numFmt w:val="lowerLetter"/>
      <w:lvlText w:val="%1."/>
      <w:lvlJc w:val="left"/>
      <w:pPr>
        <w:ind w:left="820" w:hanging="360"/>
      </w:pPr>
      <w:rPr>
        <w:rFonts w:ascii="Times New Roman" w:eastAsia="Times New Roman" w:hAnsi="Times New Roman" w:cs="Times New Roman" w:hint="default"/>
        <w:w w:val="100"/>
        <w:sz w:val="24"/>
        <w:szCs w:val="24"/>
        <w:lang w:eastAsia="en-US" w:bidi="ar-SA"/>
      </w:rPr>
    </w:lvl>
    <w:lvl w:ilvl="1" w:tplc="19F655C6">
      <w:start w:val="1"/>
      <w:numFmt w:val="bullet"/>
      <w:lvlText w:val="•"/>
      <w:lvlJc w:val="left"/>
      <w:pPr>
        <w:ind w:left="1191" w:hanging="360"/>
      </w:pPr>
      <w:rPr>
        <w:rFonts w:hint="default"/>
        <w:lang w:eastAsia="en-US" w:bidi="ar-SA"/>
      </w:rPr>
    </w:lvl>
    <w:lvl w:ilvl="2" w:tplc="0A32A04C">
      <w:start w:val="1"/>
      <w:numFmt w:val="bullet"/>
      <w:lvlText w:val="•"/>
      <w:lvlJc w:val="left"/>
      <w:pPr>
        <w:ind w:left="1563" w:hanging="360"/>
      </w:pPr>
      <w:rPr>
        <w:rFonts w:hint="default"/>
        <w:lang w:eastAsia="en-US" w:bidi="ar-SA"/>
      </w:rPr>
    </w:lvl>
    <w:lvl w:ilvl="3" w:tplc="2B56CD72">
      <w:start w:val="1"/>
      <w:numFmt w:val="bullet"/>
      <w:lvlText w:val="•"/>
      <w:lvlJc w:val="left"/>
      <w:pPr>
        <w:ind w:left="1935" w:hanging="360"/>
      </w:pPr>
      <w:rPr>
        <w:rFonts w:hint="default"/>
        <w:lang w:eastAsia="en-US" w:bidi="ar-SA"/>
      </w:rPr>
    </w:lvl>
    <w:lvl w:ilvl="4" w:tplc="421ECBB0">
      <w:start w:val="1"/>
      <w:numFmt w:val="bullet"/>
      <w:lvlText w:val="•"/>
      <w:lvlJc w:val="left"/>
      <w:pPr>
        <w:ind w:left="2307" w:hanging="360"/>
      </w:pPr>
      <w:rPr>
        <w:rFonts w:hint="default"/>
        <w:lang w:eastAsia="en-US" w:bidi="ar-SA"/>
      </w:rPr>
    </w:lvl>
    <w:lvl w:ilvl="5" w:tplc="B624F85C">
      <w:start w:val="1"/>
      <w:numFmt w:val="bullet"/>
      <w:lvlText w:val="•"/>
      <w:lvlJc w:val="left"/>
      <w:pPr>
        <w:ind w:left="2679" w:hanging="360"/>
      </w:pPr>
      <w:rPr>
        <w:rFonts w:hint="default"/>
        <w:lang w:eastAsia="en-US" w:bidi="ar-SA"/>
      </w:rPr>
    </w:lvl>
    <w:lvl w:ilvl="6" w:tplc="97B2EC34">
      <w:start w:val="1"/>
      <w:numFmt w:val="bullet"/>
      <w:lvlText w:val="•"/>
      <w:lvlJc w:val="left"/>
      <w:pPr>
        <w:ind w:left="3051" w:hanging="360"/>
      </w:pPr>
      <w:rPr>
        <w:rFonts w:hint="default"/>
        <w:lang w:eastAsia="en-US" w:bidi="ar-SA"/>
      </w:rPr>
    </w:lvl>
    <w:lvl w:ilvl="7" w:tplc="312E4290">
      <w:start w:val="1"/>
      <w:numFmt w:val="bullet"/>
      <w:lvlText w:val="•"/>
      <w:lvlJc w:val="left"/>
      <w:pPr>
        <w:ind w:left="3423" w:hanging="360"/>
      </w:pPr>
      <w:rPr>
        <w:rFonts w:hint="default"/>
        <w:lang w:eastAsia="en-US" w:bidi="ar-SA"/>
      </w:rPr>
    </w:lvl>
    <w:lvl w:ilvl="8" w:tplc="F9B2B7DC">
      <w:start w:val="1"/>
      <w:numFmt w:val="bullet"/>
      <w:lvlText w:val="•"/>
      <w:lvlJc w:val="left"/>
      <w:pPr>
        <w:ind w:left="3795" w:hanging="360"/>
      </w:pPr>
      <w:rPr>
        <w:rFonts w:hint="default"/>
        <w:lang w:eastAsia="en-US" w:bidi="ar-SA"/>
      </w:rPr>
    </w:lvl>
  </w:abstractNum>
  <w:abstractNum w:abstractNumId="4" w15:restartNumberingAfterBreak="0">
    <w:nsid w:val="00000005"/>
    <w:multiLevelType w:val="hybridMultilevel"/>
    <w:tmpl w:val="87D6C800"/>
    <w:lvl w:ilvl="0" w:tplc="32A44506">
      <w:start w:val="1"/>
      <w:numFmt w:val="lowerLetter"/>
      <w:lvlText w:val="%1."/>
      <w:lvlJc w:val="left"/>
      <w:pPr>
        <w:ind w:left="820" w:hanging="360"/>
      </w:pPr>
      <w:rPr>
        <w:rFonts w:ascii="Times New Roman" w:eastAsia="Times New Roman" w:hAnsi="Times New Roman" w:cs="Times New Roman" w:hint="default"/>
        <w:w w:val="100"/>
        <w:sz w:val="24"/>
        <w:szCs w:val="24"/>
        <w:lang w:eastAsia="en-US" w:bidi="ar-SA"/>
      </w:rPr>
    </w:lvl>
    <w:lvl w:ilvl="1" w:tplc="43581776">
      <w:start w:val="1"/>
      <w:numFmt w:val="bullet"/>
      <w:lvlText w:val="•"/>
      <w:lvlJc w:val="left"/>
      <w:pPr>
        <w:ind w:left="1184" w:hanging="360"/>
      </w:pPr>
      <w:rPr>
        <w:rFonts w:hint="default"/>
        <w:lang w:eastAsia="en-US" w:bidi="ar-SA"/>
      </w:rPr>
    </w:lvl>
    <w:lvl w:ilvl="2" w:tplc="6F6E3742">
      <w:start w:val="1"/>
      <w:numFmt w:val="bullet"/>
      <w:lvlText w:val="•"/>
      <w:lvlJc w:val="left"/>
      <w:pPr>
        <w:ind w:left="1548" w:hanging="360"/>
      </w:pPr>
      <w:rPr>
        <w:rFonts w:hint="default"/>
        <w:lang w:eastAsia="en-US" w:bidi="ar-SA"/>
      </w:rPr>
    </w:lvl>
    <w:lvl w:ilvl="3" w:tplc="668ECF94">
      <w:start w:val="1"/>
      <w:numFmt w:val="bullet"/>
      <w:lvlText w:val="•"/>
      <w:lvlJc w:val="left"/>
      <w:pPr>
        <w:ind w:left="1912" w:hanging="360"/>
      </w:pPr>
      <w:rPr>
        <w:rFonts w:hint="default"/>
        <w:lang w:eastAsia="en-US" w:bidi="ar-SA"/>
      </w:rPr>
    </w:lvl>
    <w:lvl w:ilvl="4" w:tplc="049AED9A">
      <w:start w:val="1"/>
      <w:numFmt w:val="bullet"/>
      <w:lvlText w:val="•"/>
      <w:lvlJc w:val="left"/>
      <w:pPr>
        <w:ind w:left="2276" w:hanging="360"/>
      </w:pPr>
      <w:rPr>
        <w:rFonts w:hint="default"/>
        <w:lang w:eastAsia="en-US" w:bidi="ar-SA"/>
      </w:rPr>
    </w:lvl>
    <w:lvl w:ilvl="5" w:tplc="E6700B44">
      <w:start w:val="1"/>
      <w:numFmt w:val="bullet"/>
      <w:lvlText w:val="•"/>
      <w:lvlJc w:val="left"/>
      <w:pPr>
        <w:ind w:left="2640" w:hanging="360"/>
      </w:pPr>
      <w:rPr>
        <w:rFonts w:hint="default"/>
        <w:lang w:eastAsia="en-US" w:bidi="ar-SA"/>
      </w:rPr>
    </w:lvl>
    <w:lvl w:ilvl="6" w:tplc="7E38CDD0">
      <w:start w:val="1"/>
      <w:numFmt w:val="bullet"/>
      <w:lvlText w:val="•"/>
      <w:lvlJc w:val="left"/>
      <w:pPr>
        <w:ind w:left="3004" w:hanging="360"/>
      </w:pPr>
      <w:rPr>
        <w:rFonts w:hint="default"/>
        <w:lang w:eastAsia="en-US" w:bidi="ar-SA"/>
      </w:rPr>
    </w:lvl>
    <w:lvl w:ilvl="7" w:tplc="4762DD7A">
      <w:start w:val="1"/>
      <w:numFmt w:val="bullet"/>
      <w:lvlText w:val="•"/>
      <w:lvlJc w:val="left"/>
      <w:pPr>
        <w:ind w:left="3368" w:hanging="360"/>
      </w:pPr>
      <w:rPr>
        <w:rFonts w:hint="default"/>
        <w:lang w:eastAsia="en-US" w:bidi="ar-SA"/>
      </w:rPr>
    </w:lvl>
    <w:lvl w:ilvl="8" w:tplc="33303264">
      <w:start w:val="1"/>
      <w:numFmt w:val="bullet"/>
      <w:lvlText w:val="•"/>
      <w:lvlJc w:val="left"/>
      <w:pPr>
        <w:ind w:left="3732" w:hanging="360"/>
      </w:pPr>
      <w:rPr>
        <w:rFonts w:hint="default"/>
        <w:lang w:eastAsia="en-US" w:bidi="ar-SA"/>
      </w:rPr>
    </w:lvl>
  </w:abstractNum>
  <w:abstractNum w:abstractNumId="5" w15:restartNumberingAfterBreak="0">
    <w:nsid w:val="00000006"/>
    <w:multiLevelType w:val="hybridMultilevel"/>
    <w:tmpl w:val="B2EEDB3E"/>
    <w:lvl w:ilvl="0" w:tplc="700CE950">
      <w:start w:val="1"/>
      <w:numFmt w:val="lowerLetter"/>
      <w:lvlText w:val="%1."/>
      <w:lvlJc w:val="left"/>
      <w:pPr>
        <w:ind w:left="460" w:hanging="360"/>
        <w:jc w:val="right"/>
      </w:pPr>
      <w:rPr>
        <w:rFonts w:ascii="Times New Roman" w:eastAsia="Times New Roman" w:hAnsi="Times New Roman" w:cs="Times New Roman" w:hint="default"/>
        <w:w w:val="100"/>
        <w:sz w:val="24"/>
        <w:szCs w:val="24"/>
        <w:lang w:eastAsia="en-US" w:bidi="ar-SA"/>
      </w:rPr>
    </w:lvl>
    <w:lvl w:ilvl="1" w:tplc="69882658">
      <w:start w:val="1"/>
      <w:numFmt w:val="bullet"/>
      <w:lvlText w:val="•"/>
      <w:lvlJc w:val="left"/>
      <w:pPr>
        <w:ind w:left="831" w:hanging="360"/>
      </w:pPr>
      <w:rPr>
        <w:rFonts w:hint="default"/>
        <w:lang w:eastAsia="en-US" w:bidi="ar-SA"/>
      </w:rPr>
    </w:lvl>
    <w:lvl w:ilvl="2" w:tplc="5B5C41F4">
      <w:start w:val="1"/>
      <w:numFmt w:val="bullet"/>
      <w:lvlText w:val="•"/>
      <w:lvlJc w:val="left"/>
      <w:pPr>
        <w:ind w:left="1203" w:hanging="360"/>
      </w:pPr>
      <w:rPr>
        <w:rFonts w:hint="default"/>
        <w:lang w:eastAsia="en-US" w:bidi="ar-SA"/>
      </w:rPr>
    </w:lvl>
    <w:lvl w:ilvl="3" w:tplc="B4524962">
      <w:start w:val="1"/>
      <w:numFmt w:val="bullet"/>
      <w:lvlText w:val="•"/>
      <w:lvlJc w:val="left"/>
      <w:pPr>
        <w:ind w:left="1575" w:hanging="360"/>
      </w:pPr>
      <w:rPr>
        <w:rFonts w:hint="default"/>
        <w:lang w:eastAsia="en-US" w:bidi="ar-SA"/>
      </w:rPr>
    </w:lvl>
    <w:lvl w:ilvl="4" w:tplc="A73AF970">
      <w:start w:val="1"/>
      <w:numFmt w:val="bullet"/>
      <w:lvlText w:val="•"/>
      <w:lvlJc w:val="left"/>
      <w:pPr>
        <w:ind w:left="1947" w:hanging="360"/>
      </w:pPr>
      <w:rPr>
        <w:rFonts w:hint="default"/>
        <w:lang w:eastAsia="en-US" w:bidi="ar-SA"/>
      </w:rPr>
    </w:lvl>
    <w:lvl w:ilvl="5" w:tplc="CA666436">
      <w:start w:val="1"/>
      <w:numFmt w:val="bullet"/>
      <w:lvlText w:val="•"/>
      <w:lvlJc w:val="left"/>
      <w:pPr>
        <w:ind w:left="2319" w:hanging="360"/>
      </w:pPr>
      <w:rPr>
        <w:rFonts w:hint="default"/>
        <w:lang w:eastAsia="en-US" w:bidi="ar-SA"/>
      </w:rPr>
    </w:lvl>
    <w:lvl w:ilvl="6" w:tplc="FA5E6E96">
      <w:start w:val="1"/>
      <w:numFmt w:val="bullet"/>
      <w:lvlText w:val="•"/>
      <w:lvlJc w:val="left"/>
      <w:pPr>
        <w:ind w:left="2691" w:hanging="360"/>
      </w:pPr>
      <w:rPr>
        <w:rFonts w:hint="default"/>
        <w:lang w:eastAsia="en-US" w:bidi="ar-SA"/>
      </w:rPr>
    </w:lvl>
    <w:lvl w:ilvl="7" w:tplc="D1B0CE82">
      <w:start w:val="1"/>
      <w:numFmt w:val="bullet"/>
      <w:lvlText w:val="•"/>
      <w:lvlJc w:val="left"/>
      <w:pPr>
        <w:ind w:left="3063" w:hanging="360"/>
      </w:pPr>
      <w:rPr>
        <w:rFonts w:hint="default"/>
        <w:lang w:eastAsia="en-US" w:bidi="ar-SA"/>
      </w:rPr>
    </w:lvl>
    <w:lvl w:ilvl="8" w:tplc="00261A2A">
      <w:start w:val="1"/>
      <w:numFmt w:val="bullet"/>
      <w:lvlText w:val="•"/>
      <w:lvlJc w:val="left"/>
      <w:pPr>
        <w:ind w:left="3435" w:hanging="360"/>
      </w:pPr>
      <w:rPr>
        <w:rFonts w:hint="default"/>
        <w:lang w:eastAsia="en-US" w:bidi="ar-SA"/>
      </w:rPr>
    </w:lvl>
  </w:abstractNum>
  <w:abstractNum w:abstractNumId="6" w15:restartNumberingAfterBreak="0">
    <w:nsid w:val="00000007"/>
    <w:multiLevelType w:val="hybridMultilevel"/>
    <w:tmpl w:val="F972531E"/>
    <w:lvl w:ilvl="0" w:tplc="0A5A72FE">
      <w:start w:val="1"/>
      <w:numFmt w:val="lowerLetter"/>
      <w:lvlText w:val="%1."/>
      <w:lvlJc w:val="left"/>
      <w:pPr>
        <w:ind w:left="820" w:hanging="360"/>
      </w:pPr>
      <w:rPr>
        <w:rFonts w:ascii="Times New Roman" w:eastAsia="Times New Roman" w:hAnsi="Times New Roman" w:cs="Times New Roman" w:hint="default"/>
        <w:w w:val="100"/>
        <w:sz w:val="24"/>
        <w:szCs w:val="24"/>
        <w:lang w:eastAsia="en-US" w:bidi="ar-SA"/>
      </w:rPr>
    </w:lvl>
    <w:lvl w:ilvl="1" w:tplc="DEA86718">
      <w:start w:val="1"/>
      <w:numFmt w:val="decimal"/>
      <w:lvlText w:val="%2)"/>
      <w:lvlJc w:val="left"/>
      <w:pPr>
        <w:ind w:left="1180" w:hanging="360"/>
      </w:pPr>
      <w:rPr>
        <w:rFonts w:ascii="Times New Roman" w:eastAsia="Times New Roman" w:hAnsi="Times New Roman" w:cs="Times New Roman" w:hint="default"/>
        <w:w w:val="99"/>
        <w:sz w:val="24"/>
        <w:szCs w:val="24"/>
        <w:lang w:eastAsia="en-US" w:bidi="ar-SA"/>
      </w:rPr>
    </w:lvl>
    <w:lvl w:ilvl="2" w:tplc="5C906918">
      <w:start w:val="1"/>
      <w:numFmt w:val="bullet"/>
      <w:lvlText w:val="•"/>
      <w:lvlJc w:val="left"/>
      <w:pPr>
        <w:ind w:left="1553" w:hanging="360"/>
      </w:pPr>
      <w:rPr>
        <w:rFonts w:hint="default"/>
        <w:lang w:eastAsia="en-US" w:bidi="ar-SA"/>
      </w:rPr>
    </w:lvl>
    <w:lvl w:ilvl="3" w:tplc="18000C34">
      <w:start w:val="1"/>
      <w:numFmt w:val="bullet"/>
      <w:lvlText w:val="•"/>
      <w:lvlJc w:val="left"/>
      <w:pPr>
        <w:ind w:left="1926" w:hanging="360"/>
      </w:pPr>
      <w:rPr>
        <w:rFonts w:hint="default"/>
        <w:lang w:eastAsia="en-US" w:bidi="ar-SA"/>
      </w:rPr>
    </w:lvl>
    <w:lvl w:ilvl="4" w:tplc="64C43A16">
      <w:start w:val="1"/>
      <w:numFmt w:val="bullet"/>
      <w:lvlText w:val="•"/>
      <w:lvlJc w:val="left"/>
      <w:pPr>
        <w:ind w:left="2299" w:hanging="360"/>
      </w:pPr>
      <w:rPr>
        <w:rFonts w:hint="default"/>
        <w:lang w:eastAsia="en-US" w:bidi="ar-SA"/>
      </w:rPr>
    </w:lvl>
    <w:lvl w:ilvl="5" w:tplc="B5181288">
      <w:start w:val="1"/>
      <w:numFmt w:val="bullet"/>
      <w:lvlText w:val="•"/>
      <w:lvlJc w:val="left"/>
      <w:pPr>
        <w:ind w:left="2673" w:hanging="360"/>
      </w:pPr>
      <w:rPr>
        <w:rFonts w:hint="default"/>
        <w:lang w:eastAsia="en-US" w:bidi="ar-SA"/>
      </w:rPr>
    </w:lvl>
    <w:lvl w:ilvl="6" w:tplc="6046DC44">
      <w:start w:val="1"/>
      <w:numFmt w:val="bullet"/>
      <w:lvlText w:val="•"/>
      <w:lvlJc w:val="left"/>
      <w:pPr>
        <w:ind w:left="3046" w:hanging="360"/>
      </w:pPr>
      <w:rPr>
        <w:rFonts w:hint="default"/>
        <w:lang w:eastAsia="en-US" w:bidi="ar-SA"/>
      </w:rPr>
    </w:lvl>
    <w:lvl w:ilvl="7" w:tplc="DF347BE6">
      <w:start w:val="1"/>
      <w:numFmt w:val="bullet"/>
      <w:lvlText w:val="•"/>
      <w:lvlJc w:val="left"/>
      <w:pPr>
        <w:ind w:left="3419" w:hanging="360"/>
      </w:pPr>
      <w:rPr>
        <w:rFonts w:hint="default"/>
        <w:lang w:eastAsia="en-US" w:bidi="ar-SA"/>
      </w:rPr>
    </w:lvl>
    <w:lvl w:ilvl="8" w:tplc="C0AE7F36">
      <w:start w:val="1"/>
      <w:numFmt w:val="bullet"/>
      <w:lvlText w:val="•"/>
      <w:lvlJc w:val="left"/>
      <w:pPr>
        <w:ind w:left="3793" w:hanging="360"/>
      </w:pPr>
      <w:rPr>
        <w:rFonts w:hint="default"/>
        <w:lang w:eastAsia="en-US" w:bidi="ar-SA"/>
      </w:rPr>
    </w:lvl>
  </w:abstractNum>
  <w:abstractNum w:abstractNumId="7" w15:restartNumberingAfterBreak="0">
    <w:nsid w:val="0112348D"/>
    <w:multiLevelType w:val="hybridMultilevel"/>
    <w:tmpl w:val="C6E6F69E"/>
    <w:lvl w:ilvl="0" w:tplc="1FAC83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52471A5"/>
    <w:multiLevelType w:val="hybridMultilevel"/>
    <w:tmpl w:val="BA3E65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6FE5DBF"/>
    <w:multiLevelType w:val="hybridMultilevel"/>
    <w:tmpl w:val="EAB2366E"/>
    <w:lvl w:ilvl="0" w:tplc="9022CBEC">
      <w:start w:val="1"/>
      <w:numFmt w:val="lowerLetter"/>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0A8700A1"/>
    <w:multiLevelType w:val="hybridMultilevel"/>
    <w:tmpl w:val="C1740FFA"/>
    <w:lvl w:ilvl="0" w:tplc="D54A1A5C">
      <w:start w:val="1"/>
      <w:numFmt w:val="upp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108C7319"/>
    <w:multiLevelType w:val="hybridMultilevel"/>
    <w:tmpl w:val="CB063BAA"/>
    <w:lvl w:ilvl="0" w:tplc="617C5F34">
      <w:start w:val="1"/>
      <w:numFmt w:val="lowerLetter"/>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11E77EA9"/>
    <w:multiLevelType w:val="hybridMultilevel"/>
    <w:tmpl w:val="89CE352E"/>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3" w15:restartNumberingAfterBreak="0">
    <w:nsid w:val="14400FC3"/>
    <w:multiLevelType w:val="hybridMultilevel"/>
    <w:tmpl w:val="FA2C2858"/>
    <w:lvl w:ilvl="0" w:tplc="45CC0404">
      <w:start w:val="1"/>
      <w:numFmt w:val="upperLetter"/>
      <w:lvlText w:val="%1."/>
      <w:lvlJc w:val="left"/>
      <w:pPr>
        <w:ind w:left="502" w:hanging="360"/>
      </w:pPr>
      <w:rPr>
        <w:rFonts w:hint="default"/>
        <w:i w:val="0"/>
        <w:iCs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15D66FC9"/>
    <w:multiLevelType w:val="hybridMultilevel"/>
    <w:tmpl w:val="4288D34C"/>
    <w:lvl w:ilvl="0" w:tplc="4BA0B7C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5" w15:restartNumberingAfterBreak="0">
    <w:nsid w:val="1B276991"/>
    <w:multiLevelType w:val="hybridMultilevel"/>
    <w:tmpl w:val="D1A2E06A"/>
    <w:lvl w:ilvl="0" w:tplc="38090015">
      <w:start w:val="1"/>
      <w:numFmt w:val="upp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6" w15:restartNumberingAfterBreak="0">
    <w:nsid w:val="1FD43FE1"/>
    <w:multiLevelType w:val="hybridMultilevel"/>
    <w:tmpl w:val="00D414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68513E"/>
    <w:multiLevelType w:val="hybridMultilevel"/>
    <w:tmpl w:val="E3D2928A"/>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18" w15:restartNumberingAfterBreak="0">
    <w:nsid w:val="25B01D1F"/>
    <w:multiLevelType w:val="hybridMultilevel"/>
    <w:tmpl w:val="3F2039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80A3A79"/>
    <w:multiLevelType w:val="hybridMultilevel"/>
    <w:tmpl w:val="8362E554"/>
    <w:lvl w:ilvl="0" w:tplc="D264C98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15:restartNumberingAfterBreak="0">
    <w:nsid w:val="2A372882"/>
    <w:multiLevelType w:val="hybridMultilevel"/>
    <w:tmpl w:val="6A62C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161915"/>
    <w:multiLevelType w:val="hybridMultilevel"/>
    <w:tmpl w:val="8014158A"/>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2" w15:restartNumberingAfterBreak="0">
    <w:nsid w:val="3633743D"/>
    <w:multiLevelType w:val="hybridMultilevel"/>
    <w:tmpl w:val="1960D020"/>
    <w:lvl w:ilvl="0" w:tplc="725257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75A435E"/>
    <w:multiLevelType w:val="hybridMultilevel"/>
    <w:tmpl w:val="7B90D3BE"/>
    <w:lvl w:ilvl="0" w:tplc="A60212A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4730E4"/>
    <w:multiLevelType w:val="hybridMultilevel"/>
    <w:tmpl w:val="A17C8238"/>
    <w:lvl w:ilvl="0" w:tplc="E4761E7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78C1758"/>
    <w:multiLevelType w:val="hybridMultilevel"/>
    <w:tmpl w:val="A208A35A"/>
    <w:lvl w:ilvl="0" w:tplc="1DEC2D68">
      <w:start w:val="1"/>
      <w:numFmt w:val="lowerLetter"/>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4E3C1F95"/>
    <w:multiLevelType w:val="hybridMultilevel"/>
    <w:tmpl w:val="9FAC1A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5FE7D0D"/>
    <w:multiLevelType w:val="hybridMultilevel"/>
    <w:tmpl w:val="00D414E4"/>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0E6F8B"/>
    <w:multiLevelType w:val="hybridMultilevel"/>
    <w:tmpl w:val="C426816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6A7B4CA5"/>
    <w:multiLevelType w:val="hybridMultilevel"/>
    <w:tmpl w:val="8014158A"/>
    <w:lvl w:ilvl="0" w:tplc="38090019">
      <w:start w:val="1"/>
      <w:numFmt w:val="lowerLetter"/>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30" w15:restartNumberingAfterBreak="0">
    <w:nsid w:val="70CB6AC1"/>
    <w:multiLevelType w:val="hybridMultilevel"/>
    <w:tmpl w:val="83B4FBAC"/>
    <w:lvl w:ilvl="0" w:tplc="116C9D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2DF2575"/>
    <w:multiLevelType w:val="hybridMultilevel"/>
    <w:tmpl w:val="AF668706"/>
    <w:lvl w:ilvl="0" w:tplc="804C4F22">
      <w:start w:val="1"/>
      <w:numFmt w:val="decimal"/>
      <w:lvlText w:val="%1."/>
      <w:lvlJc w:val="left"/>
      <w:pPr>
        <w:ind w:left="460" w:hanging="360"/>
      </w:pPr>
      <w:rPr>
        <w:rFonts w:ascii="Times New Roman" w:eastAsia="Times New Roman" w:hAnsi="Times New Roman" w:cs="Times New Roman" w:hint="default"/>
        <w:w w:val="100"/>
        <w:sz w:val="24"/>
        <w:szCs w:val="24"/>
        <w:lang w:eastAsia="en-US" w:bidi="ar-SA"/>
      </w:rPr>
    </w:lvl>
    <w:lvl w:ilvl="1" w:tplc="64D49D78">
      <w:start w:val="1"/>
      <w:numFmt w:val="bullet"/>
      <w:lvlText w:val="•"/>
      <w:lvlJc w:val="left"/>
      <w:pPr>
        <w:ind w:left="867" w:hanging="360"/>
      </w:pPr>
      <w:rPr>
        <w:rFonts w:hint="default"/>
        <w:lang w:eastAsia="en-US" w:bidi="ar-SA"/>
      </w:rPr>
    </w:lvl>
    <w:lvl w:ilvl="2" w:tplc="79343ED8">
      <w:start w:val="1"/>
      <w:numFmt w:val="bullet"/>
      <w:lvlText w:val="•"/>
      <w:lvlJc w:val="left"/>
      <w:pPr>
        <w:ind w:left="1275" w:hanging="360"/>
      </w:pPr>
      <w:rPr>
        <w:rFonts w:hint="default"/>
        <w:lang w:eastAsia="en-US" w:bidi="ar-SA"/>
      </w:rPr>
    </w:lvl>
    <w:lvl w:ilvl="3" w:tplc="4D3C7EBC">
      <w:start w:val="1"/>
      <w:numFmt w:val="bullet"/>
      <w:lvlText w:val="•"/>
      <w:lvlJc w:val="left"/>
      <w:pPr>
        <w:ind w:left="1683" w:hanging="360"/>
      </w:pPr>
      <w:rPr>
        <w:rFonts w:hint="default"/>
        <w:lang w:eastAsia="en-US" w:bidi="ar-SA"/>
      </w:rPr>
    </w:lvl>
    <w:lvl w:ilvl="4" w:tplc="67186BCC">
      <w:start w:val="1"/>
      <w:numFmt w:val="bullet"/>
      <w:lvlText w:val="•"/>
      <w:lvlJc w:val="left"/>
      <w:pPr>
        <w:ind w:left="2091" w:hanging="360"/>
      </w:pPr>
      <w:rPr>
        <w:rFonts w:hint="default"/>
        <w:lang w:eastAsia="en-US" w:bidi="ar-SA"/>
      </w:rPr>
    </w:lvl>
    <w:lvl w:ilvl="5" w:tplc="07325354">
      <w:start w:val="1"/>
      <w:numFmt w:val="bullet"/>
      <w:lvlText w:val="•"/>
      <w:lvlJc w:val="left"/>
      <w:pPr>
        <w:ind w:left="2499" w:hanging="360"/>
      </w:pPr>
      <w:rPr>
        <w:rFonts w:hint="default"/>
        <w:lang w:eastAsia="en-US" w:bidi="ar-SA"/>
      </w:rPr>
    </w:lvl>
    <w:lvl w:ilvl="6" w:tplc="504AA3BA">
      <w:start w:val="1"/>
      <w:numFmt w:val="bullet"/>
      <w:lvlText w:val="•"/>
      <w:lvlJc w:val="left"/>
      <w:pPr>
        <w:ind w:left="2907" w:hanging="360"/>
      </w:pPr>
      <w:rPr>
        <w:rFonts w:hint="default"/>
        <w:lang w:eastAsia="en-US" w:bidi="ar-SA"/>
      </w:rPr>
    </w:lvl>
    <w:lvl w:ilvl="7" w:tplc="7DC4544A">
      <w:start w:val="1"/>
      <w:numFmt w:val="bullet"/>
      <w:lvlText w:val="•"/>
      <w:lvlJc w:val="left"/>
      <w:pPr>
        <w:ind w:left="3315" w:hanging="360"/>
      </w:pPr>
      <w:rPr>
        <w:rFonts w:hint="default"/>
        <w:lang w:eastAsia="en-US" w:bidi="ar-SA"/>
      </w:rPr>
    </w:lvl>
    <w:lvl w:ilvl="8" w:tplc="02C6BDA8">
      <w:start w:val="1"/>
      <w:numFmt w:val="bullet"/>
      <w:lvlText w:val="•"/>
      <w:lvlJc w:val="left"/>
      <w:pPr>
        <w:ind w:left="3723" w:hanging="360"/>
      </w:pPr>
      <w:rPr>
        <w:rFonts w:hint="default"/>
        <w:lang w:eastAsia="en-US" w:bidi="ar-SA"/>
      </w:rPr>
    </w:lvl>
  </w:abstractNum>
  <w:abstractNum w:abstractNumId="32" w15:restartNumberingAfterBreak="0">
    <w:nsid w:val="756C0795"/>
    <w:multiLevelType w:val="hybridMultilevel"/>
    <w:tmpl w:val="078855C2"/>
    <w:lvl w:ilvl="0" w:tplc="8014DD14">
      <w:start w:val="2"/>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15:restartNumberingAfterBreak="0">
    <w:nsid w:val="7CA172F4"/>
    <w:multiLevelType w:val="hybridMultilevel"/>
    <w:tmpl w:val="EB1668B8"/>
    <w:lvl w:ilvl="0" w:tplc="CAC6C348">
      <w:start w:val="1"/>
      <w:numFmt w:val="lowerLetter"/>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4" w15:restartNumberingAfterBreak="0">
    <w:nsid w:val="7CF87FFC"/>
    <w:multiLevelType w:val="hybridMultilevel"/>
    <w:tmpl w:val="5D56289A"/>
    <w:lvl w:ilvl="0" w:tplc="E2BC0B34">
      <w:start w:val="1"/>
      <w:numFmt w:val="lowerLetter"/>
      <w:lvlText w:val="%1."/>
      <w:lvlJc w:val="left"/>
      <w:pPr>
        <w:ind w:left="1440" w:hanging="360"/>
      </w:pPr>
      <w:rPr>
        <w:rFonts w:ascii="Times New Roman" w:eastAsiaTheme="minorHAnsi"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217084659">
    <w:abstractNumId w:val="31"/>
  </w:num>
  <w:num w:numId="2" w16cid:durableId="1374306123">
    <w:abstractNumId w:val="2"/>
  </w:num>
  <w:num w:numId="3" w16cid:durableId="1792630626">
    <w:abstractNumId w:val="0"/>
  </w:num>
  <w:num w:numId="4" w16cid:durableId="1051268931">
    <w:abstractNumId w:val="6"/>
  </w:num>
  <w:num w:numId="5" w16cid:durableId="1120999412">
    <w:abstractNumId w:val="4"/>
  </w:num>
  <w:num w:numId="6" w16cid:durableId="1094352756">
    <w:abstractNumId w:val="3"/>
  </w:num>
  <w:num w:numId="7" w16cid:durableId="1011030084">
    <w:abstractNumId w:val="5"/>
  </w:num>
  <w:num w:numId="8" w16cid:durableId="377971049">
    <w:abstractNumId w:val="1"/>
  </w:num>
  <w:num w:numId="9" w16cid:durableId="2066951226">
    <w:abstractNumId w:val="14"/>
  </w:num>
  <w:num w:numId="10" w16cid:durableId="424687501">
    <w:abstractNumId w:val="10"/>
  </w:num>
  <w:num w:numId="11" w16cid:durableId="1159887125">
    <w:abstractNumId w:val="13"/>
  </w:num>
  <w:num w:numId="12" w16cid:durableId="146290858">
    <w:abstractNumId w:val="7"/>
  </w:num>
  <w:num w:numId="13" w16cid:durableId="1952855832">
    <w:abstractNumId w:val="11"/>
  </w:num>
  <w:num w:numId="14" w16cid:durableId="1745762573">
    <w:abstractNumId w:val="33"/>
  </w:num>
  <w:num w:numId="15" w16cid:durableId="1761835028">
    <w:abstractNumId w:val="25"/>
  </w:num>
  <w:num w:numId="16" w16cid:durableId="1045562715">
    <w:abstractNumId w:val="9"/>
  </w:num>
  <w:num w:numId="17" w16cid:durableId="846560603">
    <w:abstractNumId w:val="34"/>
  </w:num>
  <w:num w:numId="18" w16cid:durableId="1593470845">
    <w:abstractNumId w:val="20"/>
  </w:num>
  <w:num w:numId="19" w16cid:durableId="465388945">
    <w:abstractNumId w:val="24"/>
  </w:num>
  <w:num w:numId="20" w16cid:durableId="1718433892">
    <w:abstractNumId w:val="26"/>
  </w:num>
  <w:num w:numId="21" w16cid:durableId="1408335714">
    <w:abstractNumId w:val="8"/>
  </w:num>
  <w:num w:numId="22" w16cid:durableId="383412368">
    <w:abstractNumId w:val="30"/>
  </w:num>
  <w:num w:numId="23" w16cid:durableId="1928267015">
    <w:abstractNumId w:val="22"/>
  </w:num>
  <w:num w:numId="24" w16cid:durableId="1412653295">
    <w:abstractNumId w:val="27"/>
  </w:num>
  <w:num w:numId="25" w16cid:durableId="1235891829">
    <w:abstractNumId w:val="19"/>
  </w:num>
  <w:num w:numId="26" w16cid:durableId="1678995896">
    <w:abstractNumId w:val="16"/>
  </w:num>
  <w:num w:numId="27" w16cid:durableId="1261110587">
    <w:abstractNumId w:val="29"/>
  </w:num>
  <w:num w:numId="28" w16cid:durableId="1697192049">
    <w:abstractNumId w:val="12"/>
  </w:num>
  <w:num w:numId="29" w16cid:durableId="1802652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686899">
    <w:abstractNumId w:val="32"/>
  </w:num>
  <w:num w:numId="31" w16cid:durableId="1970668516">
    <w:abstractNumId w:val="28"/>
  </w:num>
  <w:num w:numId="32" w16cid:durableId="850409392">
    <w:abstractNumId w:val="23"/>
  </w:num>
  <w:num w:numId="33" w16cid:durableId="535191931">
    <w:abstractNumId w:val="17"/>
  </w:num>
  <w:num w:numId="34" w16cid:durableId="1620910813">
    <w:abstractNumId w:val="21"/>
  </w:num>
  <w:num w:numId="35" w16cid:durableId="995842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6221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5E"/>
    <w:rsid w:val="00062CD2"/>
    <w:rsid w:val="000D37A1"/>
    <w:rsid w:val="0015505D"/>
    <w:rsid w:val="001702CF"/>
    <w:rsid w:val="001C7A7B"/>
    <w:rsid w:val="0021345B"/>
    <w:rsid w:val="00270B79"/>
    <w:rsid w:val="00393C33"/>
    <w:rsid w:val="003B52C7"/>
    <w:rsid w:val="003B5625"/>
    <w:rsid w:val="003E5DFE"/>
    <w:rsid w:val="003F3D4C"/>
    <w:rsid w:val="00401082"/>
    <w:rsid w:val="004114DA"/>
    <w:rsid w:val="00484920"/>
    <w:rsid w:val="004B0BF6"/>
    <w:rsid w:val="004B6F64"/>
    <w:rsid w:val="004F0CF3"/>
    <w:rsid w:val="00537A16"/>
    <w:rsid w:val="00591E9E"/>
    <w:rsid w:val="005936F7"/>
    <w:rsid w:val="005E7E83"/>
    <w:rsid w:val="005F03FB"/>
    <w:rsid w:val="00616AAD"/>
    <w:rsid w:val="00694DB5"/>
    <w:rsid w:val="006C6A5A"/>
    <w:rsid w:val="006D44BD"/>
    <w:rsid w:val="00713C37"/>
    <w:rsid w:val="00740408"/>
    <w:rsid w:val="0076115E"/>
    <w:rsid w:val="0076723F"/>
    <w:rsid w:val="007A1C1E"/>
    <w:rsid w:val="00831CBE"/>
    <w:rsid w:val="00860147"/>
    <w:rsid w:val="00871513"/>
    <w:rsid w:val="0087373A"/>
    <w:rsid w:val="008932F3"/>
    <w:rsid w:val="008B3FE9"/>
    <w:rsid w:val="008D2C1D"/>
    <w:rsid w:val="00927D14"/>
    <w:rsid w:val="0099018C"/>
    <w:rsid w:val="009C0894"/>
    <w:rsid w:val="00A077F6"/>
    <w:rsid w:val="00A30BF7"/>
    <w:rsid w:val="00A74651"/>
    <w:rsid w:val="00AB3729"/>
    <w:rsid w:val="00AC4900"/>
    <w:rsid w:val="00AD1C3A"/>
    <w:rsid w:val="00B46923"/>
    <w:rsid w:val="00B758EE"/>
    <w:rsid w:val="00B8443C"/>
    <w:rsid w:val="00B9408E"/>
    <w:rsid w:val="00C00A50"/>
    <w:rsid w:val="00C0559E"/>
    <w:rsid w:val="00CA4B1A"/>
    <w:rsid w:val="00D75DBC"/>
    <w:rsid w:val="00DB5BDC"/>
    <w:rsid w:val="00DD6812"/>
    <w:rsid w:val="00E02A9D"/>
    <w:rsid w:val="00E3223E"/>
    <w:rsid w:val="00F00A36"/>
    <w:rsid w:val="00F43785"/>
    <w:rsid w:val="00F5583A"/>
    <w:rsid w:val="00FC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1F6C"/>
  <w15:docId w15:val="{2FA435B6-40F2-4A10-8951-C2116136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100"/>
      <w:jc w:val="both"/>
      <w:outlineLvl w:val="0"/>
    </w:pPr>
    <w:rPr>
      <w:b/>
      <w:bCs/>
      <w:sz w:val="24"/>
      <w:szCs w:val="24"/>
    </w:rPr>
  </w:style>
  <w:style w:type="paragraph" w:styleId="Judul2">
    <w:name w:val="heading 2"/>
    <w:basedOn w:val="Normal"/>
    <w:next w:val="Normal"/>
    <w:link w:val="Judul2KAR"/>
    <w:uiPriority w:val="9"/>
    <w:semiHidden/>
    <w:unhideWhenUsed/>
    <w:qFormat/>
    <w:rsid w:val="001702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820"/>
      <w:jc w:val="both"/>
    </w:pPr>
    <w:rPr>
      <w:sz w:val="24"/>
      <w:szCs w:val="24"/>
    </w:rPr>
  </w:style>
  <w:style w:type="paragraph" w:styleId="DaftarParagraf">
    <w:name w:val="List Paragraph"/>
    <w:basedOn w:val="Normal"/>
    <w:uiPriority w:val="34"/>
    <w:qFormat/>
    <w:pPr>
      <w:ind w:left="820" w:right="38" w:hanging="360"/>
      <w:jc w:val="both"/>
    </w:pPr>
  </w:style>
  <w:style w:type="paragraph" w:customStyle="1" w:styleId="TableParagraph">
    <w:name w:val="Table Paragraph"/>
    <w:basedOn w:val="Normal"/>
    <w:uiPriority w:val="1"/>
    <w:qFormat/>
  </w:style>
  <w:style w:type="paragraph" w:styleId="Header">
    <w:name w:val="header"/>
    <w:basedOn w:val="Normal"/>
    <w:link w:val="HeaderKAR"/>
    <w:uiPriority w:val="99"/>
    <w:pPr>
      <w:tabs>
        <w:tab w:val="center" w:pos="4680"/>
        <w:tab w:val="right" w:pos="9360"/>
      </w:tabs>
    </w:pPr>
  </w:style>
  <w:style w:type="character" w:customStyle="1" w:styleId="HeaderKAR">
    <w:name w:val="Header KAR"/>
    <w:basedOn w:val="FontParagrafDefault"/>
    <w:link w:val="Header"/>
    <w:uiPriority w:val="99"/>
    <w:rPr>
      <w:rFonts w:ascii="Times New Roman" w:eastAsia="Times New Roman" w:hAnsi="Times New Roman" w:cs="Times New Roman"/>
    </w:rPr>
  </w:style>
  <w:style w:type="paragraph" w:styleId="Footer">
    <w:name w:val="footer"/>
    <w:basedOn w:val="Normal"/>
    <w:link w:val="FooterKAR"/>
    <w:uiPriority w:val="99"/>
    <w:pPr>
      <w:tabs>
        <w:tab w:val="center" w:pos="4680"/>
        <w:tab w:val="right" w:pos="9360"/>
      </w:tabs>
    </w:pPr>
  </w:style>
  <w:style w:type="character" w:customStyle="1" w:styleId="FooterKAR">
    <w:name w:val="Footer KAR"/>
    <w:basedOn w:val="FontParagrafDefault"/>
    <w:link w:val="Footer"/>
    <w:uiPriority w:val="99"/>
    <w:rPr>
      <w:rFonts w:ascii="Times New Roman" w:eastAsia="Times New Roman" w:hAnsi="Times New Roman" w:cs="Times New Roman"/>
    </w:rPr>
  </w:style>
  <w:style w:type="character" w:styleId="Hyperlink">
    <w:name w:val="Hyperlink"/>
    <w:basedOn w:val="FontParagrafDefault"/>
    <w:uiPriority w:val="99"/>
    <w:rPr>
      <w:color w:val="0000FF"/>
      <w:u w:val="single"/>
    </w:rPr>
  </w:style>
  <w:style w:type="character" w:customStyle="1" w:styleId="UnresolvedMention1">
    <w:name w:val="Unresolved Mention1"/>
    <w:basedOn w:val="FontParagrafDefault"/>
    <w:uiPriority w:val="99"/>
    <w:rPr>
      <w:color w:val="605E5C"/>
      <w:shd w:val="clear" w:color="auto" w:fill="E1DFDD"/>
    </w:rPr>
  </w:style>
  <w:style w:type="paragraph" w:styleId="TeksCatatanKaki">
    <w:name w:val="footnote text"/>
    <w:basedOn w:val="Normal"/>
    <w:link w:val="TeksCatatanKakiKAR"/>
    <w:uiPriority w:val="99"/>
    <w:unhideWhenUsed/>
    <w:rsid w:val="0087151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TeksCatatanKakiKAR">
    <w:name w:val="Teks Catatan Kaki KAR"/>
    <w:basedOn w:val="FontParagrafDefault"/>
    <w:link w:val="TeksCatatanKaki"/>
    <w:uiPriority w:val="99"/>
    <w:rsid w:val="00871513"/>
    <w:rPr>
      <w:rFonts w:asciiTheme="minorHAnsi" w:eastAsiaTheme="minorHAnsi" w:hAnsiTheme="minorHAnsi" w:cstheme="minorBidi"/>
      <w:kern w:val="2"/>
      <w:sz w:val="20"/>
      <w:szCs w:val="20"/>
      <w14:ligatures w14:val="standardContextual"/>
    </w:rPr>
  </w:style>
  <w:style w:type="character" w:styleId="ReferensiCatatanKaki">
    <w:name w:val="footnote reference"/>
    <w:basedOn w:val="FontParagrafDefault"/>
    <w:uiPriority w:val="99"/>
    <w:semiHidden/>
    <w:unhideWhenUsed/>
    <w:rsid w:val="00871513"/>
    <w:rPr>
      <w:vertAlign w:val="superscript"/>
    </w:rPr>
  </w:style>
  <w:style w:type="character" w:styleId="Kuat">
    <w:name w:val="Strong"/>
    <w:basedOn w:val="FontParagrafDefault"/>
    <w:uiPriority w:val="22"/>
    <w:qFormat/>
    <w:rsid w:val="00871513"/>
    <w:rPr>
      <w:b/>
      <w:bCs/>
    </w:rPr>
  </w:style>
  <w:style w:type="character" w:styleId="Penekanan">
    <w:name w:val="Emphasis"/>
    <w:basedOn w:val="FontParagrafDefault"/>
    <w:uiPriority w:val="20"/>
    <w:qFormat/>
    <w:rsid w:val="006C6A5A"/>
    <w:rPr>
      <w:i/>
      <w:iCs/>
    </w:rPr>
  </w:style>
  <w:style w:type="character" w:customStyle="1" w:styleId="Judul2KAR">
    <w:name w:val="Judul 2 KAR"/>
    <w:basedOn w:val="FontParagrafDefault"/>
    <w:link w:val="Judul2"/>
    <w:uiPriority w:val="9"/>
    <w:semiHidden/>
    <w:rsid w:val="001702CF"/>
    <w:rPr>
      <w:rFonts w:asciiTheme="majorHAnsi" w:eastAsiaTheme="majorEastAsia" w:hAnsiTheme="majorHAnsi" w:cstheme="majorBidi"/>
      <w:color w:val="365F91" w:themeColor="accent1" w:themeShade="BF"/>
      <w:sz w:val="26"/>
      <w:szCs w:val="26"/>
    </w:rPr>
  </w:style>
  <w:style w:type="character" w:styleId="SebutanYangBelumTerselesaikan">
    <w:name w:val="Unresolved Mention"/>
    <w:basedOn w:val="FontParagrafDefault"/>
    <w:uiPriority w:val="99"/>
    <w:semiHidden/>
    <w:unhideWhenUsed/>
    <w:rsid w:val="0039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edien952@gmail.com" TargetMode="External" /><Relationship Id="rId13" Type="http://schemas.openxmlformats.org/officeDocument/2006/relationships/hyperlink" Target="https://www.hukumonline.com/berita/a/meninjau-ulang-peran-amicus-curiae-dalam-siste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cjr.or.id/amicus-brief-prita-mulyasari-%20%20%20%20vs-negara-republik-indonesia"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jamiljurist@gmail.com"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5436-6DD4-446C-AAE1-E3E96AD297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huyu</dc:creator>
  <cp:keywords>s;ar</cp:keywords>
  <cp:lastModifiedBy>diedien952@gmail.com</cp:lastModifiedBy>
  <cp:revision>2</cp:revision>
  <dcterms:created xsi:type="dcterms:W3CDTF">2025-06-25T08:37:00Z</dcterms:created>
  <dcterms:modified xsi:type="dcterms:W3CDTF">2025-06-25T08:37:00Z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2013</vt:lpwstr>
  </property>
  <property fmtid="{D5CDD505-2E9C-101B-9397-08002B2CF9AE}" pid="4" name="LastSaved">
    <vt:filetime>2022-11-01T00:00:00Z</vt:filetime>
  </property>
  <property fmtid="{D5CDD505-2E9C-101B-9397-08002B2CF9AE}" pid="5" name="ICV">
    <vt:lpwstr>dbf6880b95c4459eb60b0ea88cf05676</vt:lpwstr>
  </property>
</Properties>
</file>